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03" w:rsidRPr="0035051C" w:rsidRDefault="0035051C" w:rsidP="0035051C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第十</w:t>
      </w:r>
      <w:r w:rsidR="00E80FD4">
        <w:rPr>
          <w:rFonts w:ascii="黑体" w:eastAsia="黑体" w:hint="eastAsia"/>
          <w:b/>
          <w:sz w:val="44"/>
          <w:szCs w:val="44"/>
        </w:rPr>
        <w:t>四</w:t>
      </w:r>
      <w:r>
        <w:rPr>
          <w:rFonts w:ascii="黑体" w:eastAsia="黑体" w:hint="eastAsia"/>
          <w:b/>
          <w:sz w:val="44"/>
          <w:szCs w:val="44"/>
        </w:rPr>
        <w:t>届全国</w:t>
      </w:r>
      <w:r w:rsidR="00856603">
        <w:rPr>
          <w:rFonts w:ascii="黑体" w:eastAsia="黑体" w:hint="eastAsia"/>
          <w:b/>
          <w:sz w:val="44"/>
          <w:szCs w:val="44"/>
        </w:rPr>
        <w:t>投资促进机构</w:t>
      </w:r>
      <w:r>
        <w:rPr>
          <w:rFonts w:ascii="黑体" w:eastAsia="黑体" w:hint="eastAsia"/>
          <w:b/>
          <w:sz w:val="44"/>
          <w:szCs w:val="44"/>
        </w:rPr>
        <w:t>联席会议</w:t>
      </w:r>
    </w:p>
    <w:p w:rsidR="0035051C" w:rsidRDefault="0035051C" w:rsidP="00856603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主席团工作会议</w:t>
      </w:r>
    </w:p>
    <w:p w:rsidR="00856603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会议时间</w:t>
      </w:r>
      <w:r>
        <w:rPr>
          <w:rFonts w:ascii="仿宋_GB2312" w:eastAsia="仿宋_GB2312" w:hint="eastAsia"/>
          <w:sz w:val="32"/>
          <w:szCs w:val="32"/>
        </w:rPr>
        <w:t>：2015年5月</w:t>
      </w:r>
      <w:r w:rsidR="009A764B">
        <w:rPr>
          <w:rFonts w:ascii="仿宋_GB2312" w:eastAsia="仿宋_GB2312" w:hint="eastAsia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 w:rsidR="00856603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会议地点</w:t>
      </w:r>
      <w:r>
        <w:rPr>
          <w:rFonts w:ascii="仿宋_GB2312" w:eastAsia="仿宋_GB2312" w:hint="eastAsia"/>
          <w:sz w:val="32"/>
          <w:szCs w:val="32"/>
        </w:rPr>
        <w:t>：</w:t>
      </w:r>
      <w:r w:rsidR="00E80FD4">
        <w:rPr>
          <w:rFonts w:ascii="仿宋_GB2312" w:eastAsia="仿宋_GB2312" w:hint="eastAsia"/>
          <w:sz w:val="32"/>
          <w:szCs w:val="32"/>
        </w:rPr>
        <w:t>辽宁省大连市</w:t>
      </w:r>
      <w:r w:rsidR="0035051C">
        <w:rPr>
          <w:rFonts w:ascii="仿宋_GB2312" w:eastAsia="仿宋_GB2312" w:hint="eastAsia"/>
          <w:sz w:val="32"/>
          <w:szCs w:val="32"/>
        </w:rPr>
        <w:t>(具体待定)</w:t>
      </w:r>
    </w:p>
    <w:p w:rsidR="00856603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参会人员</w:t>
      </w:r>
      <w:r>
        <w:rPr>
          <w:rFonts w:ascii="仿宋_GB2312" w:eastAsia="仿宋_GB2312" w:hint="eastAsia"/>
          <w:sz w:val="32"/>
          <w:szCs w:val="32"/>
        </w:rPr>
        <w:t>：投资促进机构工作委员会</w:t>
      </w:r>
      <w:r w:rsidR="0035051C">
        <w:rPr>
          <w:rFonts w:ascii="仿宋_GB2312" w:eastAsia="仿宋_GB2312" w:hint="eastAsia"/>
          <w:sz w:val="32"/>
          <w:szCs w:val="32"/>
        </w:rPr>
        <w:t>主席团成员单位代表及其他列席会员代表等</w:t>
      </w:r>
    </w:p>
    <w:p w:rsidR="00856603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会议议程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56603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主持人：第十</w:t>
      </w:r>
      <w:r w:rsidR="006D5F1A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届全国投资促进机构联席会议轮值主席单位</w:t>
      </w:r>
    </w:p>
    <w:p w:rsidR="0035051C" w:rsidRDefault="00856603" w:rsidP="004B0537">
      <w:pPr>
        <w:spacing w:line="360" w:lineRule="auto"/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——</w:t>
      </w:r>
      <w:r w:rsidR="006D5F1A">
        <w:rPr>
          <w:rFonts w:ascii="仿宋_GB2312" w:eastAsia="仿宋_GB2312" w:hint="eastAsia"/>
          <w:sz w:val="32"/>
          <w:szCs w:val="32"/>
        </w:rPr>
        <w:t>轮值主席</w:t>
      </w:r>
    </w:p>
    <w:p w:rsidR="0035051C" w:rsidRDefault="00856603" w:rsidP="0035051C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14:00-14:05  主持人介绍会议议程</w:t>
      </w:r>
      <w:r w:rsidR="0035051C">
        <w:rPr>
          <w:rFonts w:ascii="仿宋_GB2312" w:eastAsia="仿宋_GB2312" w:hAnsi="宋体" w:hint="eastAsia"/>
          <w:bCs/>
          <w:sz w:val="32"/>
          <w:szCs w:val="32"/>
        </w:rPr>
        <w:t>内容</w:t>
      </w:r>
    </w:p>
    <w:p w:rsidR="0035051C" w:rsidRDefault="004E0A26" w:rsidP="0035051C">
      <w:pPr>
        <w:spacing w:line="360" w:lineRule="auto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14:05-14:15</w:t>
      </w:r>
      <w:r w:rsidR="00856603">
        <w:rPr>
          <w:rFonts w:ascii="仿宋_GB2312" w:eastAsia="仿宋_GB2312" w:hAnsi="宋体" w:hint="eastAsia"/>
          <w:bCs/>
          <w:sz w:val="32"/>
          <w:szCs w:val="32"/>
        </w:rPr>
        <w:t xml:space="preserve">  简要汇报全国投资促进机构联席会议</w:t>
      </w:r>
      <w:r w:rsidR="0035051C">
        <w:rPr>
          <w:rFonts w:ascii="仿宋_GB2312" w:eastAsia="仿宋_GB2312" w:hAnsi="宋体" w:hint="eastAsia"/>
          <w:bCs/>
          <w:sz w:val="32"/>
          <w:szCs w:val="32"/>
        </w:rPr>
        <w:t>近期主</w:t>
      </w:r>
    </w:p>
    <w:p w:rsidR="00856603" w:rsidRPr="0035051C" w:rsidRDefault="0035051C" w:rsidP="0035051C">
      <w:pPr>
        <w:spacing w:line="360" w:lineRule="auto"/>
        <w:ind w:firstLineChars="650" w:firstLine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要工作</w:t>
      </w:r>
      <w:r w:rsidR="00856603">
        <w:rPr>
          <w:rFonts w:ascii="仿宋_GB2312" w:eastAsia="仿宋_GB2312" w:hAnsi="宋体" w:hint="eastAsia"/>
          <w:bCs/>
          <w:sz w:val="32"/>
          <w:szCs w:val="32"/>
        </w:rPr>
        <w:t>和201</w:t>
      </w:r>
      <w:r w:rsidR="00E80FD4">
        <w:rPr>
          <w:rFonts w:ascii="仿宋_GB2312" w:eastAsia="仿宋_GB2312" w:hAnsi="宋体" w:hint="eastAsia"/>
          <w:bCs/>
          <w:sz w:val="32"/>
          <w:szCs w:val="32"/>
        </w:rPr>
        <w:t>6</w:t>
      </w:r>
      <w:r w:rsidR="00856603"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sz w:val="32"/>
          <w:szCs w:val="32"/>
        </w:rPr>
        <w:t>下半年工作计划</w:t>
      </w:r>
    </w:p>
    <w:p w:rsidR="00856603" w:rsidRDefault="00856603" w:rsidP="0035051C">
      <w:pPr>
        <w:spacing w:line="360" w:lineRule="auto"/>
        <w:ind w:firstLineChars="650" w:firstLine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——</w:t>
      </w:r>
      <w:r w:rsidR="006D5F1A">
        <w:rPr>
          <w:rFonts w:ascii="仿宋_GB2312" w:eastAsia="仿宋_GB2312" w:hint="eastAsia"/>
          <w:sz w:val="32"/>
          <w:szCs w:val="32"/>
        </w:rPr>
        <w:t>轮值主席</w:t>
      </w:r>
    </w:p>
    <w:p w:rsidR="00856603" w:rsidRDefault="004E0A26" w:rsidP="004E0A26">
      <w:pPr>
        <w:spacing w:line="560" w:lineRule="exact"/>
        <w:ind w:left="2080" w:hangingChars="650" w:hanging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14:15-14:30</w:t>
      </w:r>
      <w:r w:rsidR="00856603">
        <w:rPr>
          <w:rFonts w:ascii="仿宋_GB2312" w:eastAsia="仿宋_GB2312" w:hint="eastAsia"/>
          <w:sz w:val="32"/>
          <w:szCs w:val="32"/>
        </w:rPr>
        <w:t xml:space="preserve">  </w:t>
      </w:r>
      <w:r w:rsidR="0035051C">
        <w:rPr>
          <w:rFonts w:ascii="仿宋_GB2312" w:eastAsia="仿宋_GB2312" w:hint="eastAsia"/>
          <w:sz w:val="32"/>
          <w:szCs w:val="32"/>
        </w:rPr>
        <w:t>简要介绍第十</w:t>
      </w:r>
      <w:r w:rsidR="00E80FD4">
        <w:rPr>
          <w:rFonts w:ascii="仿宋_GB2312" w:eastAsia="仿宋_GB2312" w:hint="eastAsia"/>
          <w:sz w:val="32"/>
          <w:szCs w:val="32"/>
        </w:rPr>
        <w:t>四</w:t>
      </w:r>
      <w:r w:rsidR="0035051C">
        <w:rPr>
          <w:rFonts w:ascii="仿宋_GB2312" w:eastAsia="仿宋_GB2312" w:hint="eastAsia"/>
          <w:sz w:val="32"/>
          <w:szCs w:val="32"/>
        </w:rPr>
        <w:t>届</w:t>
      </w:r>
      <w:r w:rsidR="0035051C">
        <w:rPr>
          <w:rFonts w:ascii="仿宋_GB2312" w:eastAsia="仿宋_GB2312" w:hAnsi="宋体" w:hint="eastAsia"/>
          <w:bCs/>
          <w:sz w:val="32"/>
          <w:szCs w:val="32"/>
        </w:rPr>
        <w:t>全国投资促进机构联席会议的</w:t>
      </w:r>
      <w:r w:rsidR="0035051C">
        <w:rPr>
          <w:rFonts w:ascii="仿宋_GB2312" w:eastAsia="仿宋_GB2312" w:hint="eastAsia"/>
          <w:sz w:val="32"/>
          <w:szCs w:val="32"/>
        </w:rPr>
        <w:t>议程</w:t>
      </w:r>
      <w:r>
        <w:rPr>
          <w:rFonts w:ascii="仿宋_GB2312" w:eastAsia="仿宋_GB2312" w:hint="eastAsia"/>
          <w:sz w:val="32"/>
          <w:szCs w:val="32"/>
        </w:rPr>
        <w:t>内容</w:t>
      </w:r>
      <w:r w:rsidR="0035051C">
        <w:rPr>
          <w:rFonts w:ascii="仿宋_GB2312" w:eastAsia="仿宋_GB2312" w:hint="eastAsia"/>
          <w:sz w:val="32"/>
          <w:szCs w:val="32"/>
        </w:rPr>
        <w:t>安排并提出需主席团各成员单位配合事宜</w:t>
      </w:r>
    </w:p>
    <w:p w:rsidR="004E0A26" w:rsidRPr="004E0A26" w:rsidRDefault="004E0A26" w:rsidP="004E0A26">
      <w:pPr>
        <w:spacing w:line="360" w:lineRule="auto"/>
        <w:ind w:firstLineChars="650" w:firstLine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——</w:t>
      </w:r>
      <w:r w:rsidR="006D5F1A">
        <w:rPr>
          <w:rFonts w:ascii="仿宋_GB2312" w:eastAsia="仿宋_GB2312" w:hint="eastAsia"/>
          <w:sz w:val="32"/>
          <w:szCs w:val="32"/>
        </w:rPr>
        <w:t>轮值主席</w:t>
      </w:r>
    </w:p>
    <w:p w:rsidR="00856603" w:rsidRDefault="00856603" w:rsidP="00856603">
      <w:pPr>
        <w:spacing w:line="560" w:lineRule="exact"/>
        <w:ind w:left="2080" w:hangingChars="650" w:hanging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14:30-16:55 自由讨论</w:t>
      </w:r>
    </w:p>
    <w:p w:rsidR="004E0A26" w:rsidRDefault="004E0A26" w:rsidP="004E0A26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对第十</w:t>
      </w:r>
      <w:r w:rsidR="00E80FD4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届全国投资促进机构联席会议方案提出意见和建议</w:t>
      </w:r>
    </w:p>
    <w:p w:rsidR="004E0A26" w:rsidRDefault="004E0A26" w:rsidP="0085660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交流各地</w:t>
      </w:r>
      <w:r w:rsidR="00E80FD4">
        <w:rPr>
          <w:rFonts w:ascii="仿宋_GB2312" w:eastAsia="仿宋_GB2312" w:hAnsi="宋体" w:hint="eastAsia"/>
          <w:bCs/>
          <w:sz w:val="32"/>
          <w:szCs w:val="32"/>
        </w:rPr>
        <w:t>现代服务业</w:t>
      </w:r>
      <w:r>
        <w:rPr>
          <w:rFonts w:ascii="仿宋_GB2312" w:eastAsia="仿宋_GB2312" w:hAnsi="宋体" w:hint="eastAsia"/>
          <w:bCs/>
          <w:sz w:val="32"/>
          <w:szCs w:val="32"/>
        </w:rPr>
        <w:t>最新趋势发展</w:t>
      </w:r>
    </w:p>
    <w:p w:rsidR="004B0537" w:rsidRDefault="004B0537" w:rsidP="0085660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如何配合“</w:t>
      </w:r>
      <w:r w:rsidR="00E80FD4">
        <w:rPr>
          <w:rFonts w:ascii="仿宋_GB2312" w:eastAsia="仿宋_GB2312" w:hAnsi="宋体" w:hint="eastAsia"/>
          <w:bCs/>
          <w:sz w:val="32"/>
          <w:szCs w:val="32"/>
        </w:rPr>
        <w:t>中国制造2025</w:t>
      </w:r>
      <w:r>
        <w:rPr>
          <w:rFonts w:ascii="仿宋_GB2312" w:eastAsia="仿宋_GB2312" w:hAnsi="宋体" w:hint="eastAsia"/>
          <w:bCs/>
          <w:sz w:val="32"/>
          <w:szCs w:val="32"/>
        </w:rPr>
        <w:t>”国家战略开展投资促进工作</w:t>
      </w:r>
    </w:p>
    <w:p w:rsidR="004E0A26" w:rsidRDefault="004E0A26" w:rsidP="0085660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在“互联网+”的背景下，开展</w:t>
      </w:r>
      <w:r w:rsidR="00E80FD4">
        <w:rPr>
          <w:rFonts w:ascii="仿宋_GB2312" w:eastAsia="仿宋_GB2312" w:hAnsi="宋体" w:hint="eastAsia"/>
          <w:bCs/>
          <w:sz w:val="32"/>
          <w:szCs w:val="32"/>
        </w:rPr>
        <w:t>互联网+农业、金融、大健康等细分领域</w:t>
      </w:r>
      <w:r>
        <w:rPr>
          <w:rFonts w:ascii="仿宋_GB2312" w:eastAsia="仿宋_GB2312" w:hAnsi="宋体" w:hint="eastAsia"/>
          <w:bCs/>
          <w:sz w:val="32"/>
          <w:szCs w:val="32"/>
        </w:rPr>
        <w:t>投资促进工作的思考和建议</w:t>
      </w:r>
    </w:p>
    <w:p w:rsidR="004E0A26" w:rsidRDefault="004E0A26" w:rsidP="0085660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分享投资促进机构为企业提供服务的案例</w:t>
      </w:r>
    </w:p>
    <w:p w:rsidR="004E0A26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16:55-17:00  </w:t>
      </w:r>
      <w:r w:rsidR="004E0A26">
        <w:rPr>
          <w:rFonts w:ascii="仿宋_GB2312" w:eastAsia="仿宋_GB2312" w:hint="eastAsia"/>
          <w:sz w:val="32"/>
          <w:szCs w:val="32"/>
        </w:rPr>
        <w:t>中国国际投资促进会领导总结发言</w:t>
      </w:r>
    </w:p>
    <w:p w:rsidR="00856603" w:rsidRDefault="00856603" w:rsidP="0085660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856603" w:rsidSect="0035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26" w:rsidRDefault="004E0A26" w:rsidP="00856603">
      <w:r>
        <w:separator/>
      </w:r>
    </w:p>
  </w:endnote>
  <w:endnote w:type="continuationSeparator" w:id="0">
    <w:p w:rsidR="004E0A26" w:rsidRDefault="004E0A26" w:rsidP="0085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26" w:rsidRDefault="004E0A26" w:rsidP="00856603">
      <w:r>
        <w:separator/>
      </w:r>
    </w:p>
  </w:footnote>
  <w:footnote w:type="continuationSeparator" w:id="0">
    <w:p w:rsidR="004E0A26" w:rsidRDefault="004E0A26" w:rsidP="0085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76"/>
        </w:tabs>
        <w:ind w:left="5376" w:hanging="420"/>
      </w:pPr>
      <w:rPr>
        <w:rFonts w:ascii="Wingdings" w:hAnsi="Wingdings" w:hint="default"/>
      </w:rPr>
    </w:lvl>
  </w:abstractNum>
  <w:abstractNum w:abstractNumId="1">
    <w:nsid w:val="38F4154E"/>
    <w:multiLevelType w:val="hybridMultilevel"/>
    <w:tmpl w:val="19648C30"/>
    <w:lvl w:ilvl="0" w:tplc="0409000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15"/>
        </w:tabs>
        <w:ind w:left="501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435"/>
        </w:tabs>
        <w:ind w:left="543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855"/>
        </w:tabs>
        <w:ind w:left="58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F73"/>
    <w:rsid w:val="00006A32"/>
    <w:rsid w:val="00093F0E"/>
    <w:rsid w:val="000C73AA"/>
    <w:rsid w:val="000E3CF6"/>
    <w:rsid w:val="0013017C"/>
    <w:rsid w:val="001A137C"/>
    <w:rsid w:val="001F58FD"/>
    <w:rsid w:val="001F65E4"/>
    <w:rsid w:val="002111A7"/>
    <w:rsid w:val="00253426"/>
    <w:rsid w:val="0029190A"/>
    <w:rsid w:val="002A589D"/>
    <w:rsid w:val="0035051C"/>
    <w:rsid w:val="003523E3"/>
    <w:rsid w:val="003B031D"/>
    <w:rsid w:val="003B7F73"/>
    <w:rsid w:val="003C06E2"/>
    <w:rsid w:val="004A0DF0"/>
    <w:rsid w:val="004B0537"/>
    <w:rsid w:val="004B07DA"/>
    <w:rsid w:val="004E0A26"/>
    <w:rsid w:val="004F5ABE"/>
    <w:rsid w:val="00523ADA"/>
    <w:rsid w:val="00564B08"/>
    <w:rsid w:val="005675C8"/>
    <w:rsid w:val="005A78B3"/>
    <w:rsid w:val="005D26EA"/>
    <w:rsid w:val="005E315B"/>
    <w:rsid w:val="00692BFB"/>
    <w:rsid w:val="006D57A3"/>
    <w:rsid w:val="006D5F1A"/>
    <w:rsid w:val="006F20C6"/>
    <w:rsid w:val="006F51AD"/>
    <w:rsid w:val="00704146"/>
    <w:rsid w:val="00716630"/>
    <w:rsid w:val="007D11FA"/>
    <w:rsid w:val="007D18CB"/>
    <w:rsid w:val="007E096C"/>
    <w:rsid w:val="007E6F0D"/>
    <w:rsid w:val="00856603"/>
    <w:rsid w:val="00860BA4"/>
    <w:rsid w:val="009630EB"/>
    <w:rsid w:val="00967A68"/>
    <w:rsid w:val="0097412F"/>
    <w:rsid w:val="009743AC"/>
    <w:rsid w:val="009A764B"/>
    <w:rsid w:val="00A42132"/>
    <w:rsid w:val="00A67701"/>
    <w:rsid w:val="00AA006A"/>
    <w:rsid w:val="00B03A05"/>
    <w:rsid w:val="00B870E1"/>
    <w:rsid w:val="00B9040A"/>
    <w:rsid w:val="00BA79DF"/>
    <w:rsid w:val="00BD6204"/>
    <w:rsid w:val="00C877E0"/>
    <w:rsid w:val="00CB1D30"/>
    <w:rsid w:val="00CE540A"/>
    <w:rsid w:val="00D60A00"/>
    <w:rsid w:val="00D922ED"/>
    <w:rsid w:val="00DC1F53"/>
    <w:rsid w:val="00E3705C"/>
    <w:rsid w:val="00E770EF"/>
    <w:rsid w:val="00E80FD4"/>
    <w:rsid w:val="00EC28A6"/>
    <w:rsid w:val="00EF67A4"/>
    <w:rsid w:val="00F80DB8"/>
    <w:rsid w:val="00FA004C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6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6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6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Cindy</cp:lastModifiedBy>
  <cp:revision>9</cp:revision>
  <cp:lastPrinted>2016-04-26T07:44:00Z</cp:lastPrinted>
  <dcterms:created xsi:type="dcterms:W3CDTF">2015-04-17T02:11:00Z</dcterms:created>
  <dcterms:modified xsi:type="dcterms:W3CDTF">2016-04-27T02:42:00Z</dcterms:modified>
</cp:coreProperties>
</file>