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EB3" w14:textId="163229D7" w:rsidR="00C82EF7" w:rsidRDefault="0014124A" w:rsidP="0014124A">
      <w:pPr>
        <w:jc w:val="center"/>
        <w:textAlignment w:val="baseline"/>
        <w:rPr>
          <w:sz w:val="20"/>
          <w:lang w:eastAsia="zh-CN"/>
        </w:rPr>
      </w:pPr>
      <w:r>
        <w:rPr>
          <w:b/>
          <w:bCs/>
          <w:sz w:val="44"/>
          <w:szCs w:val="44"/>
          <w:lang w:eastAsia="zh-CN"/>
        </w:rPr>
        <w:t>绿色</w:t>
      </w:r>
      <w:r w:rsidR="00563FEB">
        <w:rPr>
          <w:rFonts w:hint="eastAsia"/>
          <w:b/>
          <w:bCs/>
          <w:sz w:val="44"/>
          <w:szCs w:val="44"/>
          <w:lang w:eastAsia="zh-CN"/>
        </w:rPr>
        <w:t>低碳</w:t>
      </w:r>
      <w:r>
        <w:rPr>
          <w:rFonts w:hint="eastAsia"/>
          <w:b/>
          <w:bCs/>
          <w:sz w:val="44"/>
          <w:szCs w:val="44"/>
          <w:lang w:eastAsia="zh-CN"/>
        </w:rPr>
        <w:t>示范园区</w:t>
      </w:r>
      <w:r>
        <w:rPr>
          <w:b/>
          <w:bCs/>
          <w:sz w:val="44"/>
          <w:szCs w:val="44"/>
          <w:lang w:eastAsia="zh-CN"/>
        </w:rPr>
        <w:t>发展</w:t>
      </w: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b/>
          <w:bCs/>
          <w:sz w:val="44"/>
          <w:szCs w:val="44"/>
          <w:lang w:eastAsia="zh-CN"/>
        </w:rPr>
        <w:t>标</w:t>
      </w:r>
    </w:p>
    <w:p w14:paraId="2C2CE49B" w14:textId="77777777" w:rsidR="0014124A" w:rsidRDefault="0014124A">
      <w:pPr>
        <w:widowControl/>
        <w:jc w:val="center"/>
        <w:textAlignment w:val="baseline"/>
        <w:rPr>
          <w:b/>
          <w:bCs/>
          <w:sz w:val="44"/>
          <w:szCs w:val="44"/>
          <w:lang w:eastAsia="zh-CN"/>
        </w:rPr>
      </w:pPr>
    </w:p>
    <w:tbl>
      <w:tblPr>
        <w:tblStyle w:val="TableNormal"/>
        <w:tblW w:w="157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1559"/>
        <w:gridCol w:w="7371"/>
        <w:gridCol w:w="2195"/>
      </w:tblGrid>
      <w:tr w:rsidR="0091747C" w14:paraId="06205FFE" w14:textId="77777777" w:rsidTr="0066790F">
        <w:trPr>
          <w:trHeight w:val="567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42F140" w14:textId="77777777" w:rsidR="00F131E6" w:rsidRPr="0066790F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目标要素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E0F65" w14:textId="77777777" w:rsidR="00F131E6" w:rsidRPr="0066790F" w:rsidRDefault="00F131E6" w:rsidP="0014124A">
            <w:pPr>
              <w:pStyle w:val="TableParagraph"/>
              <w:snapToGrid w:val="0"/>
              <w:ind w:left="147" w:right="4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18C27" w14:textId="7D0C9B99" w:rsidR="00F131E6" w:rsidRPr="0066790F" w:rsidRDefault="00F131E6" w:rsidP="0014124A">
            <w:pPr>
              <w:pStyle w:val="TableParagraph"/>
              <w:snapToGrid w:val="0"/>
              <w:ind w:left="147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6BED9" w14:textId="25369FB4" w:rsidR="00F131E6" w:rsidRPr="0066790F" w:rsidRDefault="00F131E6" w:rsidP="00AF4797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cs="宋体" w:hint="eastAsia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3A94BF" w14:textId="239259AB" w:rsidR="00F131E6" w:rsidRPr="0066790F" w:rsidRDefault="00F131E6" w:rsidP="00F131E6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cs="宋体" w:hint="eastAsia"/>
                <w:b/>
                <w:sz w:val="24"/>
                <w:szCs w:val="24"/>
                <w:lang w:eastAsia="zh-CN"/>
              </w:rPr>
              <w:t>计算公式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76968C2" w14:textId="77777777" w:rsidR="00F131E6" w:rsidRPr="0066790F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proofErr w:type="spellStart"/>
            <w:r w:rsidRPr="0066790F">
              <w:rPr>
                <w:rFonts w:cs="宋体"/>
                <w:b/>
                <w:sz w:val="24"/>
                <w:szCs w:val="24"/>
              </w:rPr>
              <w:t>证</w:t>
            </w:r>
            <w:r w:rsidRPr="0066790F">
              <w:rPr>
                <w:rFonts w:cs="宋体"/>
                <w:b/>
                <w:spacing w:val="4"/>
                <w:sz w:val="24"/>
                <w:szCs w:val="24"/>
              </w:rPr>
              <w:t>明</w:t>
            </w:r>
            <w:r w:rsidRPr="0066790F">
              <w:rPr>
                <w:rFonts w:cs="宋体"/>
                <w:b/>
                <w:sz w:val="24"/>
                <w:szCs w:val="24"/>
              </w:rPr>
              <w:t>材料</w:t>
            </w:r>
            <w:proofErr w:type="spellEnd"/>
          </w:p>
        </w:tc>
      </w:tr>
      <w:tr w:rsidR="0091747C" w14:paraId="230F5058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0DB22577" w14:textId="77777777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（一）</w:t>
            </w:r>
          </w:p>
          <w:p w14:paraId="1A0F3C79" w14:textId="005B70DD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经济发展绿色化</w:t>
            </w:r>
          </w:p>
        </w:tc>
        <w:tc>
          <w:tcPr>
            <w:tcW w:w="709" w:type="dxa"/>
            <w:vAlign w:val="center"/>
          </w:tcPr>
          <w:p w14:paraId="558FBF1A" w14:textId="1ED7D83F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06A33DC9" w14:textId="40E93C9D" w:rsidR="00F131E6" w:rsidRPr="0014124A" w:rsidRDefault="00AF4797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二氧化碳排放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量变动率</w:t>
            </w:r>
          </w:p>
        </w:tc>
        <w:tc>
          <w:tcPr>
            <w:tcW w:w="1559" w:type="dxa"/>
            <w:vAlign w:val="center"/>
          </w:tcPr>
          <w:p w14:paraId="791C5A43" w14:textId="3238920A" w:rsidR="00F131E6" w:rsidRPr="0014124A" w:rsidRDefault="00AF4797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8669E8C" w14:textId="77777777" w:rsidR="00AF4797" w:rsidRDefault="00AF4797" w:rsidP="00AF4797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二氧化碳排放量变动率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（报告期二氧化碳排放量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基期二氧化碳</w:t>
            </w:r>
          </w:p>
          <w:p w14:paraId="3F860CBB" w14:textId="45D9409C" w:rsidR="00F131E6" w:rsidRPr="0014124A" w:rsidRDefault="00AF4797" w:rsidP="00AF4797">
            <w:pPr>
              <w:pStyle w:val="TableParagraph"/>
              <w:snapToGrid w:val="0"/>
              <w:ind w:firstLineChars="1100" w:firstLine="264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排放量）÷基期二氧化碳排放量×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4A32B11" w14:textId="77777777" w:rsidR="00F131E6" w:rsidRPr="00DB53B3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D89F4DF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A33BE0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E0CC8D5" w14:textId="24958498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B81947A" w14:textId="335D5FBB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</w:t>
            </w:r>
          </w:p>
        </w:tc>
        <w:tc>
          <w:tcPr>
            <w:tcW w:w="1559" w:type="dxa"/>
            <w:vAlign w:val="center"/>
          </w:tcPr>
          <w:p w14:paraId="09521697" w14:textId="634119D3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千克</w:t>
            </w:r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52A0B53" w14:textId="1D2C5CA8" w:rsidR="00F131E6" w:rsidRPr="0014124A" w:rsidRDefault="00AF4797" w:rsidP="00144E74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二氧化碳排放量÷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2901447F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083CBA1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083F2D1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AB0CF0C" w14:textId="1F5320E1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6C03F272" w14:textId="1E97811E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二氧化碳排放量下降率</w:t>
            </w:r>
          </w:p>
        </w:tc>
        <w:tc>
          <w:tcPr>
            <w:tcW w:w="1559" w:type="dxa"/>
            <w:vAlign w:val="center"/>
          </w:tcPr>
          <w:p w14:paraId="0A7FFF69" w14:textId="14A9A3C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97D5502" w14:textId="77777777" w:rsidR="00DB53B3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二氧化碳排放量下降率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期单位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</w:t>
            </w:r>
          </w:p>
          <w:p w14:paraId="26D5FD70" w14:textId="4D4738BD" w:rsidR="00DB53B3" w:rsidRDefault="00DB53B3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二氧化碳排放量）</w:t>
            </w:r>
          </w:p>
          <w:p w14:paraId="6E78FF9D" w14:textId="3A90792A" w:rsidR="00F131E6" w:rsidRPr="00DB53B3" w:rsidRDefault="00567305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sz w:val="24"/>
                <w:szCs w:val="24"/>
                <w:lang w:eastAsia="zh-CN"/>
              </w:rPr>
              <w:t>DP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二氧化碳排放量×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2F3222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B27B74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0C5CB54A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BA38464" w14:textId="72E69226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2B1AC61F" w14:textId="447CFA3C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碳排放交易量</w:t>
            </w:r>
          </w:p>
        </w:tc>
        <w:tc>
          <w:tcPr>
            <w:tcW w:w="1559" w:type="dxa"/>
            <w:vAlign w:val="center"/>
          </w:tcPr>
          <w:p w14:paraId="29E0A484" w14:textId="44693F2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千克</w:t>
            </w:r>
          </w:p>
        </w:tc>
        <w:tc>
          <w:tcPr>
            <w:tcW w:w="7371" w:type="dxa"/>
            <w:vAlign w:val="center"/>
          </w:tcPr>
          <w:p w14:paraId="3D2F6C47" w14:textId="1A87D476" w:rsidR="00F131E6" w:rsidRPr="00FF200C" w:rsidRDefault="00FE445F" w:rsidP="00FF200C">
            <w:pPr>
              <w:pStyle w:val="TableParagraph"/>
              <w:snapToGrid w:val="0"/>
              <w:jc w:val="center"/>
              <w:textAlignment w:val="baseline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FF200C">
              <w:rPr>
                <w:rFonts w:asciiTheme="minorEastAsia" w:hAnsiTheme="minorEastAsia" w:cs="宋体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5F59B18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DB000A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3B9A8EC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923F32" w14:textId="17410104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298F5CB9" w14:textId="3234F668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</w:p>
        </w:tc>
        <w:tc>
          <w:tcPr>
            <w:tcW w:w="1559" w:type="dxa"/>
            <w:vAlign w:val="center"/>
          </w:tcPr>
          <w:p w14:paraId="61809F86" w14:textId="750269F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吨标煤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7BE4ECE9" w14:textId="55EAEDF0" w:rsidR="00F131E6" w:rsidRPr="0014124A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能耗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综合能源消费量÷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1861A05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416E8DB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488837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27867A" w14:textId="66C084E2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B5EDCE6" w14:textId="1FCA0589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14:paraId="0099ACA9" w14:textId="712A5D14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6FB243F1" w14:textId="77777777" w:rsidR="00567305" w:rsidRDefault="00F131E6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 xml:space="preserve">= 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报告</w:t>
            </w:r>
            <w:proofErr w:type="gramStart"/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期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proofErr w:type="gramEnd"/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-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基期单位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能耗）</w:t>
            </w:r>
          </w:p>
          <w:p w14:paraId="714D30A7" w14:textId="53850797" w:rsidR="00F131E6" w:rsidRPr="0014124A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÷基期单位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>
              <w:rPr>
                <w:rFonts w:hint="eastAsia"/>
                <w:sz w:val="24"/>
                <w:szCs w:val="24"/>
                <w:lang w:eastAsia="zh-CN"/>
              </w:rPr>
              <w:t>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9507359" w14:textId="037DA0C2" w:rsidR="00F131E6" w:rsidRPr="0014124A" w:rsidRDefault="00F131E6" w:rsidP="00DB53B3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4DEFE4B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21BBE671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0844B04" w14:textId="4C82910E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E3E9F00" w14:textId="60C11B41" w:rsidR="00F131E6" w:rsidRPr="0014124A" w:rsidRDefault="00F131E6" w:rsidP="00497E1A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水耗</w:t>
            </w:r>
          </w:p>
        </w:tc>
        <w:tc>
          <w:tcPr>
            <w:tcW w:w="1559" w:type="dxa"/>
            <w:vAlign w:val="center"/>
          </w:tcPr>
          <w:p w14:paraId="5E49EDE4" w14:textId="1BA702F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立方米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3668A2F" w14:textId="25D78055" w:rsidR="00F131E6" w:rsidRPr="0014124A" w:rsidRDefault="00567305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水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取新鲜水总量÷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7FCFF5F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725FB14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4B0445DC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lastRenderedPageBreak/>
              <w:t>（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二）</w:t>
            </w:r>
          </w:p>
          <w:p w14:paraId="7DF8EA07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产业结构</w:t>
            </w:r>
          </w:p>
          <w:p w14:paraId="54A84BD8" w14:textId="70D2CE43" w:rsidR="00F131E6" w:rsidRPr="00EC2F6A" w:rsidRDefault="00F131E6" w:rsidP="00F131E6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绿色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化</w:t>
            </w:r>
          </w:p>
        </w:tc>
        <w:tc>
          <w:tcPr>
            <w:tcW w:w="709" w:type="dxa"/>
            <w:vAlign w:val="center"/>
          </w:tcPr>
          <w:p w14:paraId="577281A6" w14:textId="2D9545C4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5EE49186" w14:textId="52A2303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煤炭消费量变动率</w:t>
            </w:r>
          </w:p>
        </w:tc>
        <w:tc>
          <w:tcPr>
            <w:tcW w:w="1559" w:type="dxa"/>
            <w:vAlign w:val="center"/>
          </w:tcPr>
          <w:p w14:paraId="64BE8BEE" w14:textId="2D9E2424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4B12DCA5" w14:textId="77777777" w:rsidR="00567305" w:rsidRDefault="00567305" w:rsidP="00567305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煤炭消费量</w:t>
            </w: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（报告期煤炭消费量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基期煤炭消费量）</w:t>
            </w:r>
          </w:p>
          <w:p w14:paraId="01AFA1D1" w14:textId="318102B3" w:rsidR="00F131E6" w:rsidRPr="00567305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÷基期煤炭消费量×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49DF8420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71DE364" w14:textId="77777777">
        <w:trPr>
          <w:trHeight w:val="1984"/>
          <w:jc w:val="center"/>
        </w:trPr>
        <w:tc>
          <w:tcPr>
            <w:tcW w:w="1129" w:type="dxa"/>
            <w:vMerge/>
            <w:vAlign w:val="center"/>
          </w:tcPr>
          <w:p w14:paraId="25151287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4747CB7" w14:textId="613F96B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73E150BE" w14:textId="5F866364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绿色能源消费量占能源消费总量的比重</w:t>
            </w:r>
          </w:p>
        </w:tc>
        <w:tc>
          <w:tcPr>
            <w:tcW w:w="1559" w:type="dxa"/>
            <w:vAlign w:val="center"/>
          </w:tcPr>
          <w:p w14:paraId="2A7EF32A" w14:textId="22275E41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D7DF7EF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绿色能源消费量占能源消费总量的比重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绿色能源消费量</w:t>
            </w:r>
          </w:p>
          <w:p w14:paraId="6F0E54B2" w14:textId="77777777" w:rsidR="00F131E6" w:rsidRDefault="00567305" w:rsidP="00567305">
            <w:pPr>
              <w:pStyle w:val="TableParagraph"/>
              <w:snapToGrid w:val="0"/>
              <w:ind w:firstLineChars="1700" w:firstLine="408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÷综合能源消费量×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13D41991" w14:textId="77777777" w:rsidR="00FE445F" w:rsidRDefault="00FE445F" w:rsidP="00FE445F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25E3882E" w14:textId="47C62C17" w:rsidR="00FE445F" w:rsidRPr="00567305" w:rsidRDefault="00FE445F" w:rsidP="00144E74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144E74">
              <w:rPr>
                <w:rFonts w:cs="宋体" w:hint="eastAsia"/>
                <w:b/>
                <w:sz w:val="24"/>
                <w:szCs w:val="24"/>
                <w:lang w:eastAsia="zh-CN"/>
              </w:rPr>
              <w:t>绿色能源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：</w:t>
            </w:r>
            <w:r w:rsidR="00144E74" w:rsidRPr="00144E74">
              <w:rPr>
                <w:rFonts w:cs="宋体" w:hint="eastAsia"/>
                <w:sz w:val="24"/>
                <w:szCs w:val="24"/>
                <w:lang w:eastAsia="zh-CN"/>
              </w:rPr>
              <w:t>包括水力发电、风力发电、太阳能、生物能（沼气）、地热能（包括地源和水源）海潮能等。</w:t>
            </w:r>
          </w:p>
        </w:tc>
        <w:tc>
          <w:tcPr>
            <w:tcW w:w="2195" w:type="dxa"/>
            <w:vAlign w:val="center"/>
          </w:tcPr>
          <w:p w14:paraId="24EC09A1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EC2F6A" w14:paraId="244E2316" w14:textId="77777777" w:rsidTr="00FF200C">
        <w:trPr>
          <w:trHeight w:val="949"/>
          <w:jc w:val="center"/>
        </w:trPr>
        <w:tc>
          <w:tcPr>
            <w:tcW w:w="1129" w:type="dxa"/>
            <w:vMerge/>
            <w:vAlign w:val="center"/>
          </w:tcPr>
          <w:p w14:paraId="2C9D4950" w14:textId="77777777" w:rsidR="00EC2F6A" w:rsidRPr="00EC2F6A" w:rsidRDefault="00EC2F6A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9123C49" w14:textId="3FE3D3FA" w:rsidR="00EC2F6A" w:rsidRPr="0014124A" w:rsidRDefault="00EC2F6A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14:paraId="3B9F752A" w14:textId="6CE270CA" w:rsidR="00EC2F6A" w:rsidRPr="0014124A" w:rsidRDefault="00EC2F6A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园区已</w:t>
            </w:r>
            <w:proofErr w:type="gramStart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达碳达</w:t>
            </w:r>
            <w:proofErr w:type="gramEnd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峰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6F5EB262" w14:textId="2F4FE5E3" w:rsidR="00EC2F6A" w:rsidRDefault="00EC2F6A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371" w:type="dxa"/>
            <w:vAlign w:val="center"/>
          </w:tcPr>
          <w:p w14:paraId="1EEE498C" w14:textId="7CDE0A4B" w:rsidR="00EC2F6A" w:rsidRPr="00EC2F6A" w:rsidRDefault="00EC2F6A" w:rsidP="00EC2F6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368841B9" w14:textId="467E3383" w:rsidR="00EC2F6A" w:rsidRPr="0014124A" w:rsidRDefault="00EC2F6A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年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日）</w:t>
            </w:r>
          </w:p>
        </w:tc>
      </w:tr>
      <w:tr w:rsidR="0091747C" w14:paraId="30A944DA" w14:textId="77777777">
        <w:trPr>
          <w:trHeight w:val="2154"/>
          <w:jc w:val="center"/>
        </w:trPr>
        <w:tc>
          <w:tcPr>
            <w:tcW w:w="1129" w:type="dxa"/>
            <w:vMerge/>
            <w:vAlign w:val="center"/>
          </w:tcPr>
          <w:p w14:paraId="0218AFE7" w14:textId="77777777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059EEB3" w14:textId="4AD68C82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45274387" w14:textId="2B69B9E5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六大高耗能行业增加值占工业增加值比重</w:t>
            </w:r>
          </w:p>
        </w:tc>
        <w:tc>
          <w:tcPr>
            <w:tcW w:w="1559" w:type="dxa"/>
            <w:vAlign w:val="center"/>
          </w:tcPr>
          <w:p w14:paraId="2943F309" w14:textId="1E0B3DBF" w:rsidR="00F131E6" w:rsidRPr="00567305" w:rsidRDefault="00567305" w:rsidP="00FE445F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302CEBAA" w14:textId="77777777" w:rsidR="00F131E6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六大高耗能行业增加值占工业增加值比重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六大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高耗能行业增加值</w:t>
            </w:r>
          </w:p>
          <w:p w14:paraId="410CEE23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宋体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÷工业增加值×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66188B18" w14:textId="77777777" w:rsidR="00BA7939" w:rsidRDefault="00BA7939" w:rsidP="00BA7939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AA36A7F" w14:textId="3CBE63FA" w:rsidR="00BA7939" w:rsidRPr="0014124A" w:rsidRDefault="00BA7939" w:rsidP="00FE445F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BA7939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六大高耗能源行业：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包括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石油、煤炭及其他燃料加工业，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化学原料和化学制品制造业，非金属矿物制品业，黑色金属冶炼和压延加工业，有色金属冶炼和压延加工业，电力、热力、燃气及水生产和供应业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5B846510" w14:textId="77777777" w:rsidR="00F131E6" w:rsidRPr="0014124A" w:rsidRDefault="00F131E6" w:rsidP="0014124A">
            <w:pPr>
              <w:pStyle w:val="TableParagraph"/>
              <w:snapToGrid w:val="0"/>
              <w:ind w:left="104" w:right="2436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8C32AA5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17C4CC0F" w14:textId="2DDE237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3D51E82" w14:textId="5CB53C6F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12B475C" w14:textId="513CD489" w:rsidR="00F131E6" w:rsidRPr="0014124A" w:rsidRDefault="00F131E6" w:rsidP="0014124A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绿色制造体系创建数</w:t>
            </w:r>
          </w:p>
        </w:tc>
        <w:tc>
          <w:tcPr>
            <w:tcW w:w="1559" w:type="dxa"/>
            <w:vAlign w:val="center"/>
          </w:tcPr>
          <w:p w14:paraId="67502411" w14:textId="76C05CC8" w:rsidR="00F131E6" w:rsidRPr="00567305" w:rsidRDefault="00FE445F" w:rsidP="00FE445F">
            <w:pPr>
              <w:pStyle w:val="TableParagraph"/>
              <w:snapToGrid w:val="0"/>
              <w:ind w:right="1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45D9826" w14:textId="1A422DC4" w:rsidR="00F131E6" w:rsidRPr="0014124A" w:rsidRDefault="008B3775" w:rsidP="008B3775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●根据</w:t>
            </w:r>
            <w:r w:rsidRPr="008B3775">
              <w:rPr>
                <w:rFonts w:cs="宋体" w:hint="eastAsia"/>
                <w:sz w:val="24"/>
                <w:szCs w:val="24"/>
                <w:lang w:eastAsia="zh-CN"/>
              </w:rPr>
              <w:t>《工业和信息化部办公厅关于开展绿色制造体系建设的通知》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内容，绿色制造体系包括：绿色工厂、绿色产品、绿色园区、绿色供应链等。</w:t>
            </w:r>
          </w:p>
        </w:tc>
        <w:tc>
          <w:tcPr>
            <w:tcW w:w="2195" w:type="dxa"/>
            <w:vAlign w:val="center"/>
          </w:tcPr>
          <w:p w14:paraId="35A2A9DF" w14:textId="2C47AAA2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国家绿色制造体系名单（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一至五批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）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或省级以上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主管部门认定。</w:t>
            </w:r>
          </w:p>
        </w:tc>
      </w:tr>
      <w:tr w:rsidR="0091747C" w14:paraId="2247F8C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DF5A65A" w14:textId="77777777" w:rsidR="00F131E6" w:rsidRPr="0014124A" w:rsidRDefault="00F131E6" w:rsidP="0014124A">
            <w:pPr>
              <w:pStyle w:val="TableParagraph"/>
              <w:snapToGrid w:val="0"/>
              <w:ind w:firstLineChars="100" w:firstLine="24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3FB98EC" w14:textId="3438DD5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976C462" w14:textId="6E7F4B16" w:rsidR="00F131E6" w:rsidRPr="0014124A" w:rsidRDefault="00144E74" w:rsidP="00FE445F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清洁生产企业</w:t>
            </w:r>
            <w:proofErr w:type="gramStart"/>
            <w:r>
              <w:rPr>
                <w:rFonts w:cs="宋体"/>
                <w:sz w:val="24"/>
                <w:szCs w:val="24"/>
                <w:lang w:eastAsia="zh-CN"/>
              </w:rPr>
              <w:t>占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规模</w:t>
            </w:r>
            <w:proofErr w:type="gramEnd"/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以上</w:t>
            </w:r>
            <w:r w:rsidR="00FE445F">
              <w:rPr>
                <w:rFonts w:cs="宋体"/>
                <w:sz w:val="24"/>
                <w:szCs w:val="24"/>
                <w:lang w:eastAsia="zh-CN"/>
              </w:rPr>
              <w:t>工业企业的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比重</w:t>
            </w:r>
          </w:p>
        </w:tc>
        <w:tc>
          <w:tcPr>
            <w:tcW w:w="1559" w:type="dxa"/>
            <w:vAlign w:val="center"/>
          </w:tcPr>
          <w:p w14:paraId="61EA07D7" w14:textId="2089BA71" w:rsidR="00F131E6" w:rsidRPr="00567305" w:rsidRDefault="00FE445F" w:rsidP="00AF4797">
            <w:pPr>
              <w:pStyle w:val="TableParagraph"/>
              <w:snapToGrid w:val="0"/>
              <w:ind w:right="147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C760D8A" w14:textId="5AA7B7CC" w:rsidR="00FE445F" w:rsidRDefault="00FE445F" w:rsidP="0014124A">
            <w:pPr>
              <w:pStyle w:val="TableParagraph"/>
              <w:snapToGrid w:val="0"/>
              <w:ind w:right="147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清洁生产企业占园区规模以上工业企业的比重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=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清洁生产企业</w:t>
            </w:r>
            <w:r w:rsidR="00144E74" w:rsidRPr="00FE445F">
              <w:rPr>
                <w:rFonts w:hint="eastAsia"/>
                <w:sz w:val="24"/>
                <w:szCs w:val="24"/>
                <w:lang w:eastAsia="zh-CN"/>
              </w:rPr>
              <w:t>数</w:t>
            </w:r>
            <w:r w:rsidR="00144E74">
              <w:rPr>
                <w:rFonts w:hint="eastAsia"/>
                <w:sz w:val="24"/>
                <w:szCs w:val="24"/>
                <w:lang w:eastAsia="zh-CN"/>
              </w:rPr>
              <w:t>量÷</w:t>
            </w:r>
          </w:p>
          <w:p w14:paraId="5C58EAD9" w14:textId="43942351" w:rsidR="00F131E6" w:rsidRPr="0014124A" w:rsidRDefault="00FE445F" w:rsidP="00144E74">
            <w:pPr>
              <w:pStyle w:val="TableParagraph"/>
              <w:snapToGrid w:val="0"/>
              <w:ind w:right="147" w:firstLineChars="1700" w:firstLine="4080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规模以上工业企业数量×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5A365B6D" w14:textId="5C39FC39" w:rsidR="00F131E6" w:rsidRPr="0014124A" w:rsidRDefault="00F131E6" w:rsidP="00A216E1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E1F8EEF" w14:textId="77777777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2A6A3017" w14:textId="51D43127" w:rsidR="00F131E6" w:rsidRPr="00567305" w:rsidRDefault="00F131E6" w:rsidP="0014124A">
            <w:pPr>
              <w:widowControl/>
              <w:snapToGrid w:val="0"/>
              <w:ind w:firstLineChars="100" w:firstLine="241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三）</w:t>
            </w:r>
          </w:p>
          <w:p w14:paraId="2132BE10" w14:textId="60A178A4" w:rsidR="00F131E6" w:rsidRPr="00567305" w:rsidRDefault="00F131E6" w:rsidP="00567305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运行管理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绿色化</w:t>
            </w:r>
          </w:p>
        </w:tc>
        <w:tc>
          <w:tcPr>
            <w:tcW w:w="709" w:type="dxa"/>
            <w:vAlign w:val="center"/>
          </w:tcPr>
          <w:p w14:paraId="32B22E46" w14:textId="41B15278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 w:hint="eastAsia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1B650AC" w14:textId="5C899845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绿色生态（双碳）园区发展规划</w:t>
            </w:r>
          </w:p>
        </w:tc>
        <w:tc>
          <w:tcPr>
            <w:tcW w:w="1559" w:type="dxa"/>
            <w:vAlign w:val="center"/>
          </w:tcPr>
          <w:p w14:paraId="1033D139" w14:textId="0B45B581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371" w:type="dxa"/>
            <w:vAlign w:val="center"/>
          </w:tcPr>
          <w:p w14:paraId="3D98A591" w14:textId="693AD557" w:rsidR="00F131E6" w:rsidRPr="0014124A" w:rsidRDefault="009B5D0D" w:rsidP="009B5D0D">
            <w:pPr>
              <w:pStyle w:val="TableParagraph"/>
              <w:snapToGrid w:val="0"/>
              <w:ind w:left="234" w:hanging="12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422AAC70" w14:textId="449EF48D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BBB39D8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50E4E25E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7CD178C" w14:textId="3211954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120D492D" w14:textId="49FA474A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通过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I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SO14000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认证企业数</w:t>
            </w:r>
          </w:p>
        </w:tc>
        <w:tc>
          <w:tcPr>
            <w:tcW w:w="1559" w:type="dxa"/>
            <w:vAlign w:val="center"/>
          </w:tcPr>
          <w:p w14:paraId="00E7882A" w14:textId="4C6B431B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2BD0BCE" w14:textId="1178ED28" w:rsidR="00F131E6" w:rsidRPr="0014124A" w:rsidRDefault="00497E1A" w:rsidP="00497E1A">
            <w:pPr>
              <w:pStyle w:val="TableParagraph"/>
              <w:snapToGrid w:val="0"/>
              <w:ind w:left="234" w:hanging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ISO14000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认证企业数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：</w:t>
            </w:r>
            <w:r w:rsidRPr="00497E1A">
              <w:rPr>
                <w:rFonts w:cs="宋体" w:hint="eastAsia"/>
                <w:sz w:val="24"/>
                <w:szCs w:val="24"/>
                <w:lang w:eastAsia="zh-CN"/>
              </w:rPr>
              <w:t>截止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报告期末，园区企业中已通过</w:t>
            </w:r>
            <w:r w:rsidRPr="00497E1A">
              <w:rPr>
                <w:rFonts w:cs="宋体"/>
                <w:sz w:val="24"/>
                <w:szCs w:val="24"/>
                <w:lang w:eastAsia="zh-CN"/>
              </w:rPr>
              <w:t>ISO14000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认证并获得证书的企业数量（不包括未能通过复查，已失去该项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认证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的企业数量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497AAA1D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8A6F733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6257C9C2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CE4029F" w14:textId="4903C15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32458439" w14:textId="464A6A64" w:rsidR="00F131E6" w:rsidRPr="0014124A" w:rsidRDefault="00F131E6" w:rsidP="00AB39C2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工业固体废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物综合利用率</w:t>
            </w:r>
          </w:p>
        </w:tc>
        <w:tc>
          <w:tcPr>
            <w:tcW w:w="1559" w:type="dxa"/>
            <w:vAlign w:val="center"/>
          </w:tcPr>
          <w:p w14:paraId="61AFB80D" w14:textId="52FD75AF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FB06E42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工业固体废物综合利用率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工业固体废物综合利用量÷（工业固体废物</w:t>
            </w:r>
          </w:p>
          <w:p w14:paraId="2FEE5F37" w14:textId="1E82A728" w:rsidR="00F131E6" w:rsidRPr="0014124A" w:rsidRDefault="009B5D0D" w:rsidP="009B5D0D">
            <w:pPr>
              <w:pStyle w:val="TableParagraph"/>
              <w:snapToGrid w:val="0"/>
              <w:ind w:left="114" w:firstLineChars="1100" w:firstLine="264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产生量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+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综合利用往年贮存量）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*100</w:t>
            </w:r>
          </w:p>
        </w:tc>
        <w:tc>
          <w:tcPr>
            <w:tcW w:w="2195" w:type="dxa"/>
            <w:vAlign w:val="center"/>
          </w:tcPr>
          <w:p w14:paraId="66C79905" w14:textId="77777777" w:rsidR="00F131E6" w:rsidRPr="0014124A" w:rsidRDefault="00F131E6" w:rsidP="00A216E1">
            <w:pPr>
              <w:pStyle w:val="TableParagraph"/>
              <w:snapToGrid w:val="0"/>
              <w:ind w:left="104" w:right="191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7866304C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2C5D9E41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E8CF8A9" w14:textId="478EEAA9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12C2517" w14:textId="55A6B356" w:rsidR="00F131E6" w:rsidRPr="0014124A" w:rsidRDefault="00F131E6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再生水（中水）回用率</w:t>
            </w:r>
          </w:p>
        </w:tc>
        <w:tc>
          <w:tcPr>
            <w:tcW w:w="1559" w:type="dxa"/>
            <w:vAlign w:val="center"/>
          </w:tcPr>
          <w:p w14:paraId="5BE128B6" w14:textId="15536075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%</w:t>
            </w:r>
          </w:p>
        </w:tc>
        <w:tc>
          <w:tcPr>
            <w:tcW w:w="7371" w:type="dxa"/>
            <w:vAlign w:val="center"/>
          </w:tcPr>
          <w:p w14:paraId="5DD77893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再生水（中水）回用率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经水处理后可回用的总水量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进入水处理的</w:t>
            </w:r>
          </w:p>
          <w:p w14:paraId="3597B7F3" w14:textId="0CDA55D3" w:rsidR="00F131E6" w:rsidRPr="0014124A" w:rsidRDefault="009B5D0D" w:rsidP="009B5D0D">
            <w:pPr>
              <w:pStyle w:val="TableParagraph"/>
              <w:snapToGrid w:val="0"/>
              <w:ind w:left="234" w:firstLineChars="1000" w:firstLine="240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878C1E4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57CC79" w14:textId="77777777">
        <w:trPr>
          <w:trHeight w:val="1701"/>
          <w:jc w:val="center"/>
        </w:trPr>
        <w:tc>
          <w:tcPr>
            <w:tcW w:w="1129" w:type="dxa"/>
            <w:vMerge/>
            <w:vAlign w:val="center"/>
          </w:tcPr>
          <w:p w14:paraId="0AE2B2A9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ECA435" w14:textId="6935728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264628A" w14:textId="338F724E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绿色建筑比例</w:t>
            </w:r>
          </w:p>
        </w:tc>
        <w:tc>
          <w:tcPr>
            <w:tcW w:w="1559" w:type="dxa"/>
            <w:vAlign w:val="center"/>
          </w:tcPr>
          <w:p w14:paraId="24084FAB" w14:textId="2F1B4A6F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BB29C02" w14:textId="77777777" w:rsidR="00F131E6" w:rsidRDefault="009B5D0D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b/>
                <w:sz w:val="24"/>
                <w:szCs w:val="24"/>
                <w:lang w:eastAsia="zh-CN"/>
              </w:rPr>
              <w:t>绿色建筑</w:t>
            </w:r>
            <w:r w:rsidR="00F131E6" w:rsidRPr="009B5D0D">
              <w:rPr>
                <w:rFonts w:cs="宋体"/>
                <w:b/>
                <w:sz w:val="24"/>
                <w:szCs w:val="24"/>
                <w:lang w:eastAsia="zh-CN"/>
              </w:rPr>
              <w:t>比例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=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新建建筑中绿色建筑的面积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新建建筑面积</w:t>
            </w:r>
            <w:r>
              <w:rPr>
                <w:rFonts w:cs="宋体"/>
                <w:sz w:val="24"/>
                <w:szCs w:val="24"/>
                <w:lang w:eastAsia="zh-CN"/>
              </w:rPr>
              <w:t>×100</w:t>
            </w:r>
          </w:p>
          <w:p w14:paraId="7E17D2A3" w14:textId="77777777" w:rsidR="006F7CDB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0252770" w14:textId="4209CC12" w:rsidR="006F7CDB" w:rsidRPr="0014124A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绿色建筑：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指在全寿命期内，节约资源、保护环境、减少污染，为人们提供健康、适用、高效的使用空间，最大限度地实现人与自然和谐共生地高性能建筑。</w:t>
            </w:r>
          </w:p>
        </w:tc>
        <w:tc>
          <w:tcPr>
            <w:tcW w:w="2195" w:type="dxa"/>
            <w:vAlign w:val="center"/>
          </w:tcPr>
          <w:p w14:paraId="5C66F5B0" w14:textId="093D01F6" w:rsidR="00F131E6" w:rsidRPr="0014124A" w:rsidRDefault="009B5D0D" w:rsidP="009B5D0D">
            <w:pPr>
              <w:pStyle w:val="TableParagraph"/>
              <w:snapToGrid w:val="0"/>
              <w:ind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《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建筑节能与绿色建筑统计信息管理系统基础报表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》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或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“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绿色建筑标识证明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”</w:t>
            </w:r>
          </w:p>
        </w:tc>
      </w:tr>
      <w:tr w:rsidR="0091747C" w14:paraId="5A4BF0FB" w14:textId="77777777" w:rsidTr="000A30DA">
        <w:trPr>
          <w:trHeight w:val="789"/>
          <w:jc w:val="center"/>
        </w:trPr>
        <w:tc>
          <w:tcPr>
            <w:tcW w:w="1129" w:type="dxa"/>
            <w:vMerge/>
            <w:vAlign w:val="center"/>
          </w:tcPr>
          <w:p w14:paraId="3931D547" w14:textId="77777777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CFE9F2" w14:textId="5C932EA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color w:val="000000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0E4ECB00" w14:textId="1F094364" w:rsidR="00F131E6" w:rsidRPr="0014124A" w:rsidRDefault="009B5D0D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新能源充换电站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点覆盖率</w:t>
            </w:r>
          </w:p>
        </w:tc>
        <w:tc>
          <w:tcPr>
            <w:tcW w:w="1559" w:type="dxa"/>
            <w:vAlign w:val="center"/>
          </w:tcPr>
          <w:p w14:paraId="0A03A1AD" w14:textId="0480EB13" w:rsidR="00F131E6" w:rsidRPr="0014124A" w:rsidRDefault="009B5D0D" w:rsidP="009B5D0D">
            <w:pPr>
              <w:pStyle w:val="TableParagraph"/>
              <w:snapToGrid w:val="0"/>
              <w:ind w:right="147"/>
              <w:jc w:val="center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  <w:r w:rsidRPr="009B5D0D"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FCE698E" w14:textId="6DE51FD8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Align w:val="center"/>
          </w:tcPr>
          <w:p w14:paraId="2CB47362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2E68C1C6" w14:textId="77777777" w:rsidTr="000A30DA">
        <w:trPr>
          <w:trHeight w:val="830"/>
          <w:jc w:val="center"/>
        </w:trPr>
        <w:tc>
          <w:tcPr>
            <w:tcW w:w="1129" w:type="dxa"/>
            <w:vMerge/>
            <w:vAlign w:val="center"/>
          </w:tcPr>
          <w:p w14:paraId="292F3184" w14:textId="58828495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28B57DE" w14:textId="025C51F5" w:rsidR="00F131E6" w:rsidRPr="0014124A" w:rsidRDefault="00EC2F6A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vAlign w:val="center"/>
          </w:tcPr>
          <w:p w14:paraId="06B69AFF" w14:textId="21B83BE5" w:rsidR="00F131E6" w:rsidRPr="0014124A" w:rsidRDefault="00F131E6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spellStart"/>
            <w:r w:rsidRPr="0014124A">
              <w:rPr>
                <w:rFonts w:cs="宋体"/>
                <w:sz w:val="24"/>
                <w:szCs w:val="24"/>
              </w:rPr>
              <w:t>绿化覆盖率</w:t>
            </w:r>
            <w:proofErr w:type="spellEnd"/>
          </w:p>
        </w:tc>
        <w:tc>
          <w:tcPr>
            <w:tcW w:w="1559" w:type="dxa"/>
            <w:vAlign w:val="center"/>
          </w:tcPr>
          <w:p w14:paraId="5C6158CA" w14:textId="33DE96CF" w:rsidR="00F131E6" w:rsidRPr="0014124A" w:rsidRDefault="009B5D0D" w:rsidP="009B5D0D">
            <w:pPr>
              <w:pStyle w:val="TableParagraph"/>
              <w:snapToGrid w:val="0"/>
              <w:ind w:right="171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664D6B8" w14:textId="439DB73F" w:rsidR="00F131E6" w:rsidRPr="004B376C" w:rsidRDefault="009B5D0D" w:rsidP="009B5D0D">
            <w:pPr>
              <w:pStyle w:val="TableParagraph"/>
              <w:snapToGrid w:val="0"/>
              <w:ind w:right="17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4B376C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绿化覆盖率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=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绿化覆盖面积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÷</w:t>
            </w:r>
            <w:r w:rsid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园区管辖面积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×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85C0084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DE94B0" w14:textId="77777777" w:rsidTr="00FF200C">
        <w:trPr>
          <w:trHeight w:val="541"/>
          <w:jc w:val="center"/>
        </w:trPr>
        <w:tc>
          <w:tcPr>
            <w:tcW w:w="1129" w:type="dxa"/>
            <w:vMerge w:val="restart"/>
            <w:vAlign w:val="center"/>
          </w:tcPr>
          <w:p w14:paraId="15133EE8" w14:textId="46483C8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（</w:t>
            </w:r>
            <w:r w:rsidRPr="009B5D0D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四）</w:t>
            </w:r>
          </w:p>
          <w:p w14:paraId="131FD0B9" w14:textId="6EFA581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土地节约</w:t>
            </w:r>
          </w:p>
          <w:p w14:paraId="4697073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集约利用水平</w:t>
            </w:r>
          </w:p>
        </w:tc>
        <w:tc>
          <w:tcPr>
            <w:tcW w:w="709" w:type="dxa"/>
            <w:vAlign w:val="center"/>
          </w:tcPr>
          <w:p w14:paraId="694777DC" w14:textId="41CCCA3B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7D39A198" w14:textId="5E034047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投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资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强度</w:t>
            </w:r>
          </w:p>
        </w:tc>
        <w:tc>
          <w:tcPr>
            <w:tcW w:w="1559" w:type="dxa"/>
            <w:vAlign w:val="center"/>
          </w:tcPr>
          <w:p w14:paraId="7223D052" w14:textId="39611F87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26F940D4" w14:textId="0730B25F" w:rsidR="009B5D0D" w:rsidRPr="0014124A" w:rsidRDefault="009B5D0D" w:rsidP="009B5D0D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单位土地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投</w:t>
            </w: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资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强度</w:t>
            </w:r>
            <w:r>
              <w:rPr>
                <w:rFonts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固定资产投资÷园区管辖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195" w:type="dxa"/>
            <w:vAlign w:val="center"/>
          </w:tcPr>
          <w:p w14:paraId="4338BB30" w14:textId="77777777" w:rsidR="009B5D0D" w:rsidRPr="00E863C3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FAC98E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1B7B51D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13EC8B8" w14:textId="1F9098E1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65F0C250" w14:textId="69501BC2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单位土地税收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559" w:type="dxa"/>
            <w:vAlign w:val="center"/>
          </w:tcPr>
          <w:p w14:paraId="704BD505" w14:textId="62C5F5B3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605B5A57" w14:textId="455EB2E1" w:rsidR="009B5D0D" w:rsidRPr="009B5D0D" w:rsidRDefault="009B5D0D" w:rsidP="00E863C3">
            <w:pPr>
              <w:pStyle w:val="TableParagraph"/>
              <w:spacing w:before="24" w:line="240" w:lineRule="exac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863C3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Pr="00E863C3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土地税收</w:t>
            </w:r>
            <w:r w:rsidRPr="00E863C3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收入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税收收入÷园区管辖面积</w:t>
            </w:r>
          </w:p>
        </w:tc>
        <w:tc>
          <w:tcPr>
            <w:tcW w:w="2195" w:type="dxa"/>
            <w:vAlign w:val="center"/>
          </w:tcPr>
          <w:p w14:paraId="2BA5AF4C" w14:textId="77777777" w:rsidR="009B5D0D" w:rsidRPr="0014124A" w:rsidRDefault="009B5D0D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13071C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11EC1A9" w14:textId="77777777" w:rsidR="009B5D0D" w:rsidRPr="0014124A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7A66D12" w14:textId="54646F2C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6B33243" w14:textId="5F0B5A2A" w:rsidR="009B5D0D" w:rsidRPr="00AB39C2" w:rsidRDefault="009B5D0D" w:rsidP="00AB39C2">
            <w:pPr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AB39C2">
              <w:rPr>
                <w:rFonts w:cs="宋体" w:hint="eastAsia"/>
                <w:sz w:val="24"/>
                <w:szCs w:val="24"/>
                <w:lang w:eastAsia="zh-CN"/>
              </w:rPr>
              <w:t>单位土地集约</w:t>
            </w:r>
            <w:r w:rsidRPr="00AB39C2">
              <w:rPr>
                <w:rFonts w:cs="宋体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59" w:type="dxa"/>
            <w:vAlign w:val="center"/>
          </w:tcPr>
          <w:p w14:paraId="0CDEA890" w14:textId="5F6FCCA9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539C35AA" w14:textId="3BD45284" w:rsidR="009B5D0D" w:rsidRPr="0014124A" w:rsidRDefault="006F7CDB" w:rsidP="00E863C3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="009B5D0D" w:rsidRPr="006F7CDB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土地集约</w:t>
            </w:r>
            <w:r w:rsidR="009B5D0D" w:rsidRPr="006F7CDB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率</w:t>
            </w:r>
            <w:r w:rsidR="009B5D0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=</w:t>
            </w:r>
            <w:r w:rsidR="009B5D0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GDP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÷园区管辖面积</w:t>
            </w:r>
          </w:p>
        </w:tc>
        <w:tc>
          <w:tcPr>
            <w:tcW w:w="2195" w:type="dxa"/>
            <w:vAlign w:val="center"/>
          </w:tcPr>
          <w:p w14:paraId="2AC3A861" w14:textId="77777777" w:rsidR="009B5D0D" w:rsidRPr="0014124A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</w:tbl>
    <w:p w14:paraId="4E4755CF" w14:textId="01DC8E56" w:rsidR="00D00AE5" w:rsidRDefault="00D00AE5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054D1A84" w14:textId="79FEDFF1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1E214E8" w14:textId="1948D649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1A51655F" w14:textId="3FAA9F7D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0FB55E2C" w14:textId="3BEA76B5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2CD8C47D" w14:textId="12F6B4DF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1D85911A" w14:textId="281C4DDE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60E3F2B2" w14:textId="23E28795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4782EB4" w14:textId="51A4857C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2FA1B493" w14:textId="77777777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8484806" w14:textId="41C35D23" w:rsidR="008E7F99" w:rsidRPr="004B376C" w:rsidRDefault="008E7F99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  <w:r w:rsidRPr="004B376C">
        <w:rPr>
          <w:rFonts w:ascii="黑体" w:eastAsia="黑体" w:hAnsi="黑体" w:hint="eastAsia"/>
          <w:b/>
          <w:lang w:eastAsia="zh-CN"/>
        </w:rPr>
        <w:lastRenderedPageBreak/>
        <w:t>说明</w:t>
      </w:r>
      <w:r w:rsidR="00D00AE5">
        <w:rPr>
          <w:rFonts w:ascii="黑体" w:eastAsia="黑体" w:hAnsi="黑体" w:hint="eastAsia"/>
          <w:b/>
          <w:lang w:eastAsia="zh-CN"/>
        </w:rPr>
        <w:t>：</w:t>
      </w:r>
    </w:p>
    <w:p w14:paraId="1E6179CE" w14:textId="524D41C1" w:rsidR="004B376C" w:rsidRPr="004B376C" w:rsidRDefault="004B376C" w:rsidP="004B376C">
      <w:pPr>
        <w:pStyle w:val="a5"/>
        <w:snapToGrid w:val="0"/>
        <w:spacing w:line="600" w:lineRule="exact"/>
        <w:ind w:firstLine="660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4B376C">
        <w:rPr>
          <w:rFonts w:ascii="楷体" w:eastAsia="楷体" w:hAnsi="楷体" w:hint="eastAsia"/>
          <w:b/>
          <w:lang w:eastAsia="zh-CN"/>
        </w:rPr>
        <w:t>（一）选</w:t>
      </w:r>
      <w:r w:rsidR="00A523A7" w:rsidRPr="004B376C">
        <w:rPr>
          <w:rFonts w:ascii="楷体" w:eastAsia="楷体" w:hAnsi="楷体" w:hint="eastAsia"/>
          <w:b/>
          <w:lang w:eastAsia="zh-CN"/>
        </w:rPr>
        <w:t>评</w:t>
      </w:r>
      <w:r w:rsidRPr="004B376C">
        <w:rPr>
          <w:rFonts w:ascii="楷体" w:eastAsia="楷体" w:hAnsi="楷体" w:hint="eastAsia"/>
          <w:b/>
          <w:lang w:eastAsia="zh-CN"/>
        </w:rPr>
        <w:t>范围</w:t>
      </w:r>
    </w:p>
    <w:p w14:paraId="4838BF8E" w14:textId="69992CAA" w:rsidR="00563FEB" w:rsidRPr="00563FEB" w:rsidRDefault="00563FEB" w:rsidP="00563FEB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中国</w:t>
      </w:r>
      <w:r w:rsidRPr="0032328C">
        <w:rPr>
          <w:rFonts w:hint="eastAsia"/>
          <w:lang w:eastAsia="zh-CN"/>
        </w:rPr>
        <w:t>国际</w:t>
      </w:r>
      <w:r w:rsidRPr="0032328C">
        <w:rPr>
          <w:lang w:eastAsia="zh-CN"/>
        </w:rPr>
        <w:t>投</w:t>
      </w:r>
      <w:r w:rsidRPr="0032328C">
        <w:rPr>
          <w:rFonts w:hint="eastAsia"/>
          <w:lang w:eastAsia="zh-CN"/>
        </w:rPr>
        <w:t>资促进</w:t>
      </w:r>
      <w:r w:rsidRPr="0032328C">
        <w:rPr>
          <w:lang w:eastAsia="zh-CN"/>
        </w:rPr>
        <w:t>会</w:t>
      </w:r>
      <w:r>
        <w:rPr>
          <w:rFonts w:hint="eastAsia"/>
          <w:lang w:eastAsia="zh-CN"/>
        </w:rPr>
        <w:t>（以下简称“中国投促会”）</w:t>
      </w:r>
      <w:r w:rsidRPr="0032328C">
        <w:rPr>
          <w:rFonts w:hint="eastAsia"/>
          <w:lang w:eastAsia="zh-CN"/>
        </w:rPr>
        <w:t>会员</w:t>
      </w:r>
      <w:r>
        <w:rPr>
          <w:rFonts w:hint="eastAsia"/>
          <w:lang w:eastAsia="zh-CN"/>
        </w:rPr>
        <w:t>单位：国家级经开区、高新区；省级各类园区等。</w:t>
      </w:r>
    </w:p>
    <w:p w14:paraId="79252F1B" w14:textId="187C7D6D" w:rsidR="0032328C" w:rsidRPr="0032328C" w:rsidRDefault="0032328C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32328C">
        <w:rPr>
          <w:rFonts w:ascii="楷体" w:eastAsia="楷体" w:hAnsi="楷体"/>
          <w:b/>
          <w:lang w:eastAsia="zh-CN"/>
        </w:rPr>
        <w:t>（</w:t>
      </w:r>
      <w:r w:rsidRPr="0032328C">
        <w:rPr>
          <w:rFonts w:ascii="楷体" w:eastAsia="楷体" w:hAnsi="楷体" w:hint="eastAsia"/>
          <w:b/>
          <w:lang w:eastAsia="zh-CN"/>
        </w:rPr>
        <w:t>二）选</w:t>
      </w:r>
      <w:r w:rsidR="00A523A7" w:rsidRPr="0032328C">
        <w:rPr>
          <w:rFonts w:ascii="楷体" w:eastAsia="楷体" w:hAnsi="楷体" w:hint="eastAsia"/>
          <w:b/>
          <w:lang w:eastAsia="zh-CN"/>
        </w:rPr>
        <w:t>评</w:t>
      </w:r>
      <w:r w:rsidR="008E7F99" w:rsidRPr="0032328C">
        <w:rPr>
          <w:rFonts w:ascii="楷体" w:eastAsia="楷体" w:hAnsi="楷体"/>
          <w:b/>
          <w:lang w:eastAsia="zh-CN"/>
        </w:rPr>
        <w:t>程序</w:t>
      </w:r>
    </w:p>
    <w:p w14:paraId="1146FE64" w14:textId="7C55046A" w:rsidR="00563FEB" w:rsidRPr="0032328C" w:rsidRDefault="00563FEB" w:rsidP="00563FEB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根据情况，</w:t>
      </w:r>
      <w:proofErr w:type="gramStart"/>
      <w:r w:rsidRPr="0032328C">
        <w:rPr>
          <w:lang w:eastAsia="zh-CN"/>
        </w:rPr>
        <w:t>中国投</w:t>
      </w:r>
      <w:r>
        <w:rPr>
          <w:rFonts w:hint="eastAsia"/>
          <w:lang w:eastAsia="zh-CN"/>
        </w:rPr>
        <w:t>促</w:t>
      </w:r>
      <w:r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选择适当时间，印发</w:t>
      </w:r>
      <w:r w:rsidRPr="0032328C">
        <w:rPr>
          <w:rFonts w:hint="eastAsia"/>
          <w:lang w:eastAsia="zh-CN"/>
        </w:rPr>
        <w:t>选评“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示范园区”</w:t>
      </w:r>
      <w:r w:rsidRPr="0032328C">
        <w:rPr>
          <w:lang w:eastAsia="zh-CN"/>
        </w:rPr>
        <w:t>通知。</w:t>
      </w:r>
      <w:r w:rsidRPr="0032328C">
        <w:rPr>
          <w:rFonts w:hint="eastAsia"/>
          <w:lang w:eastAsia="zh-CN"/>
        </w:rPr>
        <w:t>参与选评的开发区，根据</w:t>
      </w:r>
      <w:r>
        <w:rPr>
          <w:rFonts w:hint="eastAsia"/>
          <w:lang w:eastAsia="zh-CN"/>
        </w:rPr>
        <w:t>《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</w:t>
      </w:r>
      <w:r>
        <w:rPr>
          <w:rFonts w:hint="eastAsia"/>
          <w:lang w:eastAsia="zh-CN"/>
        </w:rPr>
        <w:t>》</w:t>
      </w:r>
      <w:r w:rsidRPr="0032328C">
        <w:rPr>
          <w:lang w:eastAsia="zh-CN"/>
        </w:rPr>
        <w:t>形成自评材料，也</w:t>
      </w:r>
      <w:r w:rsidRPr="0032328C">
        <w:rPr>
          <w:rFonts w:hint="eastAsia"/>
          <w:lang w:eastAsia="zh-CN"/>
        </w:rPr>
        <w:t>可通过省开发区协会推荐，向</w:t>
      </w:r>
      <w:proofErr w:type="gramStart"/>
      <w:r w:rsidRPr="0032328C">
        <w:rPr>
          <w:rFonts w:hint="eastAsia"/>
          <w:lang w:eastAsia="zh-CN"/>
        </w:rPr>
        <w:t>中国投促会</w:t>
      </w:r>
      <w:proofErr w:type="gramEnd"/>
      <w:r w:rsidRPr="0032328C">
        <w:rPr>
          <w:rFonts w:hint="eastAsia"/>
          <w:lang w:eastAsia="zh-CN"/>
        </w:rPr>
        <w:t>报送相关材料，</w:t>
      </w:r>
      <w:proofErr w:type="gramStart"/>
      <w:r w:rsidRPr="0032328C">
        <w:rPr>
          <w:lang w:eastAsia="zh-CN"/>
        </w:rPr>
        <w:t>中国投促会</w:t>
      </w:r>
      <w:proofErr w:type="gramEnd"/>
      <w:r w:rsidRPr="0032328C">
        <w:rPr>
          <w:lang w:eastAsia="zh-CN"/>
        </w:rPr>
        <w:t>开发区</w:t>
      </w:r>
      <w:r>
        <w:rPr>
          <w:rFonts w:hint="eastAsia"/>
          <w:lang w:eastAsia="zh-CN"/>
        </w:rPr>
        <w:t>投资促进</w:t>
      </w:r>
      <w:r w:rsidRPr="0032328C">
        <w:rPr>
          <w:lang w:eastAsia="zh-CN"/>
        </w:rPr>
        <w:t>工作委员会</w:t>
      </w:r>
      <w:r>
        <w:rPr>
          <w:rFonts w:hint="eastAsia"/>
          <w:lang w:eastAsia="zh-CN"/>
        </w:rPr>
        <w:t>将</w:t>
      </w:r>
      <w:r w:rsidRPr="0032328C">
        <w:rPr>
          <w:rFonts w:hint="eastAsia"/>
          <w:lang w:eastAsia="zh-CN"/>
        </w:rPr>
        <w:t>组织专家进行选评</w:t>
      </w:r>
      <w:r w:rsidRPr="0032328C">
        <w:rPr>
          <w:lang w:eastAsia="zh-CN"/>
        </w:rPr>
        <w:t>。</w:t>
      </w:r>
    </w:p>
    <w:p w14:paraId="13E7353A" w14:textId="12175126" w:rsidR="00A523A7" w:rsidRPr="00A523A7" w:rsidRDefault="00A523A7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A523A7">
        <w:rPr>
          <w:rFonts w:ascii="楷体" w:eastAsia="楷体" w:hAnsi="楷体"/>
          <w:b/>
          <w:lang w:eastAsia="zh-CN"/>
        </w:rPr>
        <w:t>（</w:t>
      </w:r>
      <w:r w:rsidRPr="00A523A7">
        <w:rPr>
          <w:rFonts w:ascii="楷体" w:eastAsia="楷体" w:hAnsi="楷体" w:hint="eastAsia"/>
          <w:b/>
          <w:lang w:eastAsia="zh-CN"/>
        </w:rPr>
        <w:t>三）选评结果</w:t>
      </w:r>
    </w:p>
    <w:p w14:paraId="4BB17EA1" w14:textId="2E6729AE" w:rsidR="00563FEB" w:rsidRDefault="00563FEB" w:rsidP="00563FEB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A523A7">
        <w:rPr>
          <w:rFonts w:hint="eastAsia"/>
          <w:lang w:eastAsia="zh-CN"/>
        </w:rPr>
        <w:t>专家对</w:t>
      </w:r>
      <w:r>
        <w:rPr>
          <w:rFonts w:hint="eastAsia"/>
          <w:lang w:eastAsia="zh-CN"/>
        </w:rPr>
        <w:t>参选上报材料进行审核并</w:t>
      </w:r>
      <w:r w:rsidRPr="00A523A7">
        <w:rPr>
          <w:rFonts w:hint="eastAsia"/>
          <w:lang w:eastAsia="zh-CN"/>
        </w:rPr>
        <w:t>提出选评结果，对符合相关要求的</w:t>
      </w:r>
      <w:proofErr w:type="gramStart"/>
      <w:r w:rsidRPr="00A523A7">
        <w:rPr>
          <w:rFonts w:hint="eastAsia"/>
          <w:lang w:eastAsia="zh-CN"/>
        </w:rPr>
        <w:t>的</w:t>
      </w:r>
      <w:proofErr w:type="gramEnd"/>
      <w:r w:rsidRPr="00A523A7">
        <w:rPr>
          <w:rFonts w:hint="eastAsia"/>
          <w:lang w:eastAsia="zh-CN"/>
        </w:rPr>
        <w:t>开发区，</w:t>
      </w:r>
      <w:proofErr w:type="gramStart"/>
      <w:r w:rsidRPr="00A523A7">
        <w:rPr>
          <w:lang w:eastAsia="zh-CN"/>
        </w:rPr>
        <w:t>中国投促会</w:t>
      </w:r>
      <w:proofErr w:type="gramEnd"/>
      <w:r w:rsidR="007D63E3">
        <w:rPr>
          <w:rFonts w:hint="eastAsia"/>
          <w:lang w:eastAsia="zh-CN"/>
        </w:rPr>
        <w:t>授予</w:t>
      </w:r>
      <w:r w:rsidRPr="00A523A7">
        <w:rPr>
          <w:rFonts w:hint="eastAsia"/>
          <w:lang w:eastAsia="zh-CN"/>
        </w:rPr>
        <w:t>“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</w:t>
      </w:r>
      <w:r w:rsidRPr="00A523A7">
        <w:rPr>
          <w:rFonts w:hint="eastAsia"/>
          <w:lang w:eastAsia="zh-CN"/>
        </w:rPr>
        <w:t>”</w:t>
      </w:r>
      <w:r w:rsidR="007D63E3">
        <w:rPr>
          <w:rFonts w:hint="eastAsia"/>
          <w:lang w:eastAsia="zh-CN"/>
        </w:rPr>
        <w:t>称号</w:t>
      </w:r>
      <w:r w:rsidRPr="00A523A7">
        <w:rPr>
          <w:rFonts w:hint="eastAsia"/>
          <w:lang w:eastAsia="zh-CN"/>
        </w:rPr>
        <w:t>。</w:t>
      </w:r>
    </w:p>
    <w:p w14:paraId="72DE7590" w14:textId="77777777" w:rsidR="007C057C" w:rsidRPr="00A523A7" w:rsidRDefault="007C057C" w:rsidP="00EC2F6A">
      <w:pPr>
        <w:pStyle w:val="a5"/>
        <w:snapToGrid w:val="0"/>
        <w:spacing w:line="600" w:lineRule="exact"/>
        <w:ind w:left="0"/>
        <w:jc w:val="both"/>
        <w:textAlignment w:val="baseline"/>
        <w:rPr>
          <w:lang w:eastAsia="zh-CN"/>
        </w:rPr>
      </w:pPr>
    </w:p>
    <w:sectPr w:rsidR="007C057C" w:rsidRPr="00A523A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7444" w14:textId="77777777" w:rsidR="0077531C" w:rsidRDefault="0077531C" w:rsidP="00BD2D8A">
      <w:r>
        <w:separator/>
      </w:r>
    </w:p>
  </w:endnote>
  <w:endnote w:type="continuationSeparator" w:id="0">
    <w:p w14:paraId="7DFB72DF" w14:textId="77777777" w:rsidR="0077531C" w:rsidRDefault="0077531C" w:rsidP="00B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7257"/>
      <w:docPartObj>
        <w:docPartGallery w:val="Page Numbers (Bottom of Page)"/>
        <w:docPartUnique/>
      </w:docPartObj>
    </w:sdtPr>
    <w:sdtEndPr/>
    <w:sdtContent>
      <w:p w14:paraId="596229D3" w14:textId="507D074F" w:rsidR="002831F1" w:rsidRDefault="002831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E3" w:rsidRPr="005352E3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14:paraId="3CF12E76" w14:textId="77777777" w:rsidR="002831F1" w:rsidRDefault="00283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8704" w14:textId="77777777" w:rsidR="0077531C" w:rsidRDefault="0077531C" w:rsidP="00BD2D8A">
      <w:r>
        <w:separator/>
      </w:r>
    </w:p>
  </w:footnote>
  <w:footnote w:type="continuationSeparator" w:id="0">
    <w:p w14:paraId="22C0767D" w14:textId="77777777" w:rsidR="0077531C" w:rsidRDefault="0077531C" w:rsidP="00B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0E1"/>
    <w:multiLevelType w:val="multilevel"/>
    <w:tmpl w:val="32DE30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A0B34"/>
    <w:multiLevelType w:val="multilevel"/>
    <w:tmpl w:val="405A0B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33B58"/>
    <w:multiLevelType w:val="multilevel"/>
    <w:tmpl w:val="7D033B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267E5"/>
    <w:multiLevelType w:val="multilevel"/>
    <w:tmpl w:val="7EE267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B"/>
    <w:rsid w:val="00006917"/>
    <w:rsid w:val="000072A8"/>
    <w:rsid w:val="00015F2E"/>
    <w:rsid w:val="00016BA8"/>
    <w:rsid w:val="000232B5"/>
    <w:rsid w:val="000846A5"/>
    <w:rsid w:val="000A30DA"/>
    <w:rsid w:val="000A72C1"/>
    <w:rsid w:val="000B0089"/>
    <w:rsid w:val="000B26CF"/>
    <w:rsid w:val="000C2483"/>
    <w:rsid w:val="000C24F6"/>
    <w:rsid w:val="000C29DD"/>
    <w:rsid w:val="000D482C"/>
    <w:rsid w:val="00122210"/>
    <w:rsid w:val="0014124A"/>
    <w:rsid w:val="00144E74"/>
    <w:rsid w:val="001522A1"/>
    <w:rsid w:val="00163ADE"/>
    <w:rsid w:val="001701B8"/>
    <w:rsid w:val="00171D04"/>
    <w:rsid w:val="00173DAE"/>
    <w:rsid w:val="00187D13"/>
    <w:rsid w:val="001B53D7"/>
    <w:rsid w:val="001C247E"/>
    <w:rsid w:val="001C39DE"/>
    <w:rsid w:val="001C469A"/>
    <w:rsid w:val="001D23C5"/>
    <w:rsid w:val="001E1B74"/>
    <w:rsid w:val="002029C4"/>
    <w:rsid w:val="00214114"/>
    <w:rsid w:val="00215BEC"/>
    <w:rsid w:val="00230CE3"/>
    <w:rsid w:val="002425C5"/>
    <w:rsid w:val="00257F1E"/>
    <w:rsid w:val="00263EDB"/>
    <w:rsid w:val="00273B06"/>
    <w:rsid w:val="00280302"/>
    <w:rsid w:val="002831F1"/>
    <w:rsid w:val="00292713"/>
    <w:rsid w:val="002A2ABF"/>
    <w:rsid w:val="002A6338"/>
    <w:rsid w:val="002C3710"/>
    <w:rsid w:val="002C5FCC"/>
    <w:rsid w:val="002E0931"/>
    <w:rsid w:val="002F7E7D"/>
    <w:rsid w:val="0032177A"/>
    <w:rsid w:val="0032328C"/>
    <w:rsid w:val="0032730E"/>
    <w:rsid w:val="00330F8F"/>
    <w:rsid w:val="0033215F"/>
    <w:rsid w:val="003601B0"/>
    <w:rsid w:val="00365FA0"/>
    <w:rsid w:val="00367620"/>
    <w:rsid w:val="0038407A"/>
    <w:rsid w:val="00390AAB"/>
    <w:rsid w:val="00390D05"/>
    <w:rsid w:val="003A0959"/>
    <w:rsid w:val="003A64E8"/>
    <w:rsid w:val="003C3DCA"/>
    <w:rsid w:val="003D6CD9"/>
    <w:rsid w:val="003F4928"/>
    <w:rsid w:val="00400C5A"/>
    <w:rsid w:val="00404E5A"/>
    <w:rsid w:val="0041205A"/>
    <w:rsid w:val="00424610"/>
    <w:rsid w:val="0043275C"/>
    <w:rsid w:val="00465A44"/>
    <w:rsid w:val="0047007B"/>
    <w:rsid w:val="00470364"/>
    <w:rsid w:val="00480B0B"/>
    <w:rsid w:val="004836C6"/>
    <w:rsid w:val="00485060"/>
    <w:rsid w:val="004925C2"/>
    <w:rsid w:val="00493640"/>
    <w:rsid w:val="00497E1A"/>
    <w:rsid w:val="004A4CE1"/>
    <w:rsid w:val="004B07BA"/>
    <w:rsid w:val="004B376C"/>
    <w:rsid w:val="004D28F7"/>
    <w:rsid w:val="004D684B"/>
    <w:rsid w:val="004F29A5"/>
    <w:rsid w:val="004F49A1"/>
    <w:rsid w:val="004F6F3B"/>
    <w:rsid w:val="00513099"/>
    <w:rsid w:val="005337C2"/>
    <w:rsid w:val="005352E3"/>
    <w:rsid w:val="005537E7"/>
    <w:rsid w:val="005568E9"/>
    <w:rsid w:val="00563FEB"/>
    <w:rsid w:val="00567305"/>
    <w:rsid w:val="00574104"/>
    <w:rsid w:val="005942AE"/>
    <w:rsid w:val="0059559F"/>
    <w:rsid w:val="005A0021"/>
    <w:rsid w:val="005A16AF"/>
    <w:rsid w:val="005B1C47"/>
    <w:rsid w:val="005C035F"/>
    <w:rsid w:val="005C48C2"/>
    <w:rsid w:val="005E1C59"/>
    <w:rsid w:val="005E7367"/>
    <w:rsid w:val="005F4126"/>
    <w:rsid w:val="006101D9"/>
    <w:rsid w:val="00621027"/>
    <w:rsid w:val="0062227A"/>
    <w:rsid w:val="00627114"/>
    <w:rsid w:val="006309CD"/>
    <w:rsid w:val="006609E0"/>
    <w:rsid w:val="0066790F"/>
    <w:rsid w:val="0067700D"/>
    <w:rsid w:val="006935EC"/>
    <w:rsid w:val="006A643C"/>
    <w:rsid w:val="006D664C"/>
    <w:rsid w:val="006E37D1"/>
    <w:rsid w:val="006E6AFC"/>
    <w:rsid w:val="006F7CDB"/>
    <w:rsid w:val="0070561C"/>
    <w:rsid w:val="00715E83"/>
    <w:rsid w:val="00724A45"/>
    <w:rsid w:val="00726BD3"/>
    <w:rsid w:val="00730ADE"/>
    <w:rsid w:val="00732979"/>
    <w:rsid w:val="0073405A"/>
    <w:rsid w:val="00736BEA"/>
    <w:rsid w:val="00747DCC"/>
    <w:rsid w:val="00747EAA"/>
    <w:rsid w:val="00752DE1"/>
    <w:rsid w:val="00773260"/>
    <w:rsid w:val="0077531C"/>
    <w:rsid w:val="00784EB8"/>
    <w:rsid w:val="00786444"/>
    <w:rsid w:val="007A035D"/>
    <w:rsid w:val="007B773D"/>
    <w:rsid w:val="007C057C"/>
    <w:rsid w:val="007D63E3"/>
    <w:rsid w:val="007E4D7C"/>
    <w:rsid w:val="007E7C24"/>
    <w:rsid w:val="00824010"/>
    <w:rsid w:val="00830DDD"/>
    <w:rsid w:val="00833301"/>
    <w:rsid w:val="0084041E"/>
    <w:rsid w:val="00842014"/>
    <w:rsid w:val="00843921"/>
    <w:rsid w:val="00844681"/>
    <w:rsid w:val="00866509"/>
    <w:rsid w:val="00886AB2"/>
    <w:rsid w:val="00890125"/>
    <w:rsid w:val="00895C6F"/>
    <w:rsid w:val="008B3775"/>
    <w:rsid w:val="008B3A12"/>
    <w:rsid w:val="008C1079"/>
    <w:rsid w:val="008C3031"/>
    <w:rsid w:val="008D1572"/>
    <w:rsid w:val="008D31DA"/>
    <w:rsid w:val="008E3069"/>
    <w:rsid w:val="008E7F99"/>
    <w:rsid w:val="008E7FEF"/>
    <w:rsid w:val="0090195B"/>
    <w:rsid w:val="00906EBE"/>
    <w:rsid w:val="00914132"/>
    <w:rsid w:val="0091747C"/>
    <w:rsid w:val="00917A1F"/>
    <w:rsid w:val="0092278E"/>
    <w:rsid w:val="0093118E"/>
    <w:rsid w:val="009311F3"/>
    <w:rsid w:val="00931A0D"/>
    <w:rsid w:val="00934122"/>
    <w:rsid w:val="00935E5B"/>
    <w:rsid w:val="0093685C"/>
    <w:rsid w:val="009657B1"/>
    <w:rsid w:val="0097046A"/>
    <w:rsid w:val="00971494"/>
    <w:rsid w:val="00980F8D"/>
    <w:rsid w:val="00984DEA"/>
    <w:rsid w:val="00992B2C"/>
    <w:rsid w:val="009A4B85"/>
    <w:rsid w:val="009A5081"/>
    <w:rsid w:val="009B3B72"/>
    <w:rsid w:val="009B5D0D"/>
    <w:rsid w:val="009B5D7C"/>
    <w:rsid w:val="009D4642"/>
    <w:rsid w:val="009D5E3F"/>
    <w:rsid w:val="009E13D8"/>
    <w:rsid w:val="009F634F"/>
    <w:rsid w:val="009F70A0"/>
    <w:rsid w:val="00A00010"/>
    <w:rsid w:val="00A11EC6"/>
    <w:rsid w:val="00A216E1"/>
    <w:rsid w:val="00A427F1"/>
    <w:rsid w:val="00A44BF7"/>
    <w:rsid w:val="00A523A7"/>
    <w:rsid w:val="00A760CC"/>
    <w:rsid w:val="00A77E25"/>
    <w:rsid w:val="00A85298"/>
    <w:rsid w:val="00AA6B9D"/>
    <w:rsid w:val="00AB2C09"/>
    <w:rsid w:val="00AB3490"/>
    <w:rsid w:val="00AB39C2"/>
    <w:rsid w:val="00AC3676"/>
    <w:rsid w:val="00AC3D54"/>
    <w:rsid w:val="00AF4797"/>
    <w:rsid w:val="00B3383D"/>
    <w:rsid w:val="00B35959"/>
    <w:rsid w:val="00B461B9"/>
    <w:rsid w:val="00B51C17"/>
    <w:rsid w:val="00B77D52"/>
    <w:rsid w:val="00B8001C"/>
    <w:rsid w:val="00BA4C5D"/>
    <w:rsid w:val="00BA7939"/>
    <w:rsid w:val="00BB4395"/>
    <w:rsid w:val="00BD1F1E"/>
    <w:rsid w:val="00BD2D8A"/>
    <w:rsid w:val="00BD5E33"/>
    <w:rsid w:val="00BE2D5E"/>
    <w:rsid w:val="00C004EB"/>
    <w:rsid w:val="00C00703"/>
    <w:rsid w:val="00C2091B"/>
    <w:rsid w:val="00C31CF2"/>
    <w:rsid w:val="00C37D1E"/>
    <w:rsid w:val="00C44F0E"/>
    <w:rsid w:val="00C55776"/>
    <w:rsid w:val="00C72345"/>
    <w:rsid w:val="00C72E1C"/>
    <w:rsid w:val="00C75691"/>
    <w:rsid w:val="00C82EF7"/>
    <w:rsid w:val="00C84194"/>
    <w:rsid w:val="00C90C10"/>
    <w:rsid w:val="00CA16DB"/>
    <w:rsid w:val="00CC4B3C"/>
    <w:rsid w:val="00CC76EF"/>
    <w:rsid w:val="00D000ED"/>
    <w:rsid w:val="00D00AE5"/>
    <w:rsid w:val="00D0148A"/>
    <w:rsid w:val="00D11CF9"/>
    <w:rsid w:val="00D33BB0"/>
    <w:rsid w:val="00D521B5"/>
    <w:rsid w:val="00D54DB8"/>
    <w:rsid w:val="00D65E04"/>
    <w:rsid w:val="00D813B0"/>
    <w:rsid w:val="00D835C9"/>
    <w:rsid w:val="00D91E7A"/>
    <w:rsid w:val="00DA1532"/>
    <w:rsid w:val="00DA294D"/>
    <w:rsid w:val="00DB53B3"/>
    <w:rsid w:val="00DC37E4"/>
    <w:rsid w:val="00DF03EF"/>
    <w:rsid w:val="00E22DBF"/>
    <w:rsid w:val="00E35D72"/>
    <w:rsid w:val="00E863C3"/>
    <w:rsid w:val="00E8788B"/>
    <w:rsid w:val="00EA1369"/>
    <w:rsid w:val="00EA5886"/>
    <w:rsid w:val="00EA6265"/>
    <w:rsid w:val="00EA6BE2"/>
    <w:rsid w:val="00EC1020"/>
    <w:rsid w:val="00EC2F6A"/>
    <w:rsid w:val="00ED053B"/>
    <w:rsid w:val="00EE474B"/>
    <w:rsid w:val="00F002DC"/>
    <w:rsid w:val="00F131E6"/>
    <w:rsid w:val="00F20BC9"/>
    <w:rsid w:val="00F245FC"/>
    <w:rsid w:val="00F24A4B"/>
    <w:rsid w:val="00F26BB7"/>
    <w:rsid w:val="00F54A85"/>
    <w:rsid w:val="00F55A57"/>
    <w:rsid w:val="00F56201"/>
    <w:rsid w:val="00F67AF0"/>
    <w:rsid w:val="00F83963"/>
    <w:rsid w:val="00F969AC"/>
    <w:rsid w:val="00FA25DB"/>
    <w:rsid w:val="00FB4817"/>
    <w:rsid w:val="00FB57DA"/>
    <w:rsid w:val="00FB7875"/>
    <w:rsid w:val="00FE445F"/>
    <w:rsid w:val="00FF200C"/>
    <w:rsid w:val="07EC0A86"/>
    <w:rsid w:val="799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9D8A"/>
  <w15:docId w15:val="{86918084-7E5C-46D2-9A3A-F31C7F9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ind w:left="100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kern w:val="0"/>
      <w:sz w:val="18"/>
      <w:szCs w:val="18"/>
      <w:lang w:eastAsia="en-US"/>
    </w:rPr>
  </w:style>
  <w:style w:type="paragraph" w:styleId="ad">
    <w:name w:val="List Paragraph"/>
    <w:basedOn w:val="a"/>
    <w:uiPriority w:val="99"/>
    <w:qFormat/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ae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白杨</dc:creator>
  <cp:lastModifiedBy>杨 一</cp:lastModifiedBy>
  <cp:revision>5</cp:revision>
  <cp:lastPrinted>2021-07-26T09:37:00Z</cp:lastPrinted>
  <dcterms:created xsi:type="dcterms:W3CDTF">2021-09-27T07:31:00Z</dcterms:created>
  <dcterms:modified xsi:type="dcterms:W3CDTF">2022-03-23T02:53:00Z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