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DE444">
      <w:pPr>
        <w:spacing w:line="560" w:lineRule="exact"/>
        <w:rPr>
          <w:rFonts w:ascii="仿宋_GB2312" w:eastAsia="仿宋_GB2312"/>
          <w:sz w:val="32"/>
          <w:szCs w:val="32"/>
        </w:rPr>
      </w:pPr>
      <w:bookmarkStart w:id="0" w:name="_Hlk99476069"/>
    </w:p>
    <w:p w14:paraId="693ABEB2">
      <w:pPr>
        <w:spacing w:line="560" w:lineRule="exact"/>
        <w:rPr>
          <w:rFonts w:ascii="仿宋_GB2312" w:eastAsia="仿宋_GB2312"/>
          <w:sz w:val="32"/>
          <w:szCs w:val="32"/>
        </w:rPr>
      </w:pPr>
    </w:p>
    <w:p w14:paraId="0DB2A323">
      <w:pPr>
        <w:spacing w:line="560" w:lineRule="exact"/>
        <w:rPr>
          <w:rFonts w:ascii="仿宋_GB2312" w:eastAsia="仿宋_GB2312"/>
          <w:sz w:val="32"/>
          <w:szCs w:val="32"/>
        </w:rPr>
      </w:pPr>
    </w:p>
    <w:p w14:paraId="19291B7B">
      <w:pPr>
        <w:spacing w:line="560" w:lineRule="exact"/>
        <w:rPr>
          <w:rFonts w:ascii="仿宋_GB2312" w:eastAsia="仿宋_GB2312"/>
          <w:sz w:val="32"/>
          <w:szCs w:val="32"/>
        </w:rPr>
      </w:pPr>
    </w:p>
    <w:p w14:paraId="59100623">
      <w:pPr>
        <w:spacing w:line="560" w:lineRule="exact"/>
        <w:rPr>
          <w:rFonts w:ascii="仿宋_GB2312" w:eastAsia="仿宋_GB2312"/>
          <w:sz w:val="32"/>
          <w:szCs w:val="32"/>
        </w:rPr>
      </w:pPr>
    </w:p>
    <w:p w14:paraId="56C85F5B">
      <w:pPr>
        <w:spacing w:line="560" w:lineRule="exact"/>
        <w:jc w:val="center"/>
        <w:rPr>
          <w:rFonts w:hint="eastAsia" w:ascii="方正小标宋简体" w:hAnsi="华文中宋" w:eastAsia="方正小标宋简体"/>
          <w:bCs/>
          <w:sz w:val="36"/>
          <w:szCs w:val="36"/>
        </w:rPr>
      </w:pPr>
      <w:r>
        <w:rPr>
          <w:rFonts w:hint="eastAsia" w:ascii="方正小标宋简体" w:hAnsi="华文中宋" w:eastAsia="方正小标宋简体"/>
          <w:bCs/>
          <w:sz w:val="36"/>
          <w:szCs w:val="36"/>
        </w:rPr>
        <w:t>《商</w:t>
      </w:r>
      <w:r>
        <w:rPr>
          <w:rFonts w:hint="eastAsia" w:ascii="方正小标宋简体" w:hAnsi="华文中宋" w:eastAsia="方正小标宋简体"/>
          <w:bCs/>
          <w:sz w:val="36"/>
          <w:szCs w:val="36"/>
          <w:lang w:val="en-US" w:eastAsia="zh-CN"/>
        </w:rPr>
        <w:t>务</w:t>
      </w:r>
      <w:r>
        <w:rPr>
          <w:rFonts w:hint="eastAsia" w:ascii="方正小标宋简体" w:hAnsi="华文中宋" w:eastAsia="方正小标宋简体"/>
          <w:bCs/>
          <w:sz w:val="36"/>
          <w:szCs w:val="36"/>
        </w:rPr>
        <w:t>楼宇净零运营与碳中和评价规范</w:t>
      </w:r>
      <w:r>
        <w:rPr>
          <w:rFonts w:hint="eastAsia" w:ascii="方正小标宋简体" w:hAnsi="华文中宋" w:eastAsia="方正小标宋简体"/>
          <w:bCs/>
          <w:sz w:val="36"/>
          <w:szCs w:val="36"/>
        </w:rPr>
        <w:t>》</w:t>
      </w:r>
    </w:p>
    <w:p w14:paraId="5427B22D">
      <w:pPr>
        <w:spacing w:line="560" w:lineRule="exact"/>
        <w:jc w:val="center"/>
        <w:rPr>
          <w:rFonts w:ascii="方正小标宋简体" w:eastAsia="方正小标宋简体"/>
          <w:bCs/>
          <w:sz w:val="36"/>
          <w:szCs w:val="36"/>
        </w:rPr>
      </w:pPr>
      <w:r>
        <w:rPr>
          <w:rFonts w:hint="eastAsia" w:ascii="方正小标宋简体" w:hAnsi="华文中宋" w:eastAsia="方正小标宋简体"/>
          <w:bCs/>
          <w:sz w:val="36"/>
          <w:szCs w:val="36"/>
        </w:rPr>
        <w:t>团体标准编制说明</w:t>
      </w:r>
    </w:p>
    <w:p w14:paraId="11EB3F7E">
      <w:pPr>
        <w:spacing w:line="560" w:lineRule="exact"/>
        <w:jc w:val="center"/>
        <w:rPr>
          <w:rFonts w:ascii="方正小标宋简体" w:hAnsi="华文中宋" w:eastAsia="方正小标宋简体"/>
          <w:sz w:val="44"/>
          <w:szCs w:val="44"/>
        </w:rPr>
      </w:pPr>
    </w:p>
    <w:p w14:paraId="08EF81C5">
      <w:pPr>
        <w:spacing w:line="560" w:lineRule="exact"/>
        <w:jc w:val="center"/>
        <w:rPr>
          <w:rFonts w:ascii="方正小标宋简体" w:hAnsi="华文中宋" w:eastAsia="方正小标宋简体"/>
          <w:sz w:val="44"/>
          <w:szCs w:val="44"/>
        </w:rPr>
      </w:pPr>
    </w:p>
    <w:p w14:paraId="6752107F">
      <w:pPr>
        <w:spacing w:line="560" w:lineRule="exact"/>
        <w:jc w:val="center"/>
        <w:rPr>
          <w:rFonts w:ascii="方正小标宋简体" w:hAnsi="华文中宋" w:eastAsia="方正小标宋简体"/>
          <w:sz w:val="44"/>
          <w:szCs w:val="44"/>
        </w:rPr>
      </w:pPr>
    </w:p>
    <w:p w14:paraId="524FBF3D">
      <w:pPr>
        <w:spacing w:line="560" w:lineRule="exact"/>
        <w:jc w:val="center"/>
        <w:rPr>
          <w:rFonts w:ascii="方正小标宋简体" w:hAnsi="华文中宋" w:eastAsia="方正小标宋简体"/>
          <w:sz w:val="44"/>
          <w:szCs w:val="44"/>
        </w:rPr>
      </w:pPr>
    </w:p>
    <w:p w14:paraId="58685E9A">
      <w:pPr>
        <w:spacing w:line="560" w:lineRule="exact"/>
        <w:jc w:val="center"/>
        <w:rPr>
          <w:rFonts w:ascii="方正小标宋简体" w:hAnsi="华文中宋" w:eastAsia="方正小标宋简体"/>
          <w:sz w:val="44"/>
          <w:szCs w:val="44"/>
        </w:rPr>
      </w:pPr>
    </w:p>
    <w:p w14:paraId="370212D0">
      <w:pPr>
        <w:spacing w:line="560" w:lineRule="exact"/>
        <w:jc w:val="center"/>
        <w:rPr>
          <w:rFonts w:ascii="方正小标宋简体" w:hAnsi="华文中宋" w:eastAsia="方正小标宋简体"/>
          <w:sz w:val="44"/>
          <w:szCs w:val="44"/>
        </w:rPr>
      </w:pPr>
    </w:p>
    <w:p w14:paraId="6598795F">
      <w:pPr>
        <w:spacing w:line="560" w:lineRule="exact"/>
        <w:jc w:val="center"/>
        <w:rPr>
          <w:rFonts w:ascii="方正小标宋简体" w:hAnsi="华文中宋" w:eastAsia="方正小标宋简体"/>
          <w:sz w:val="44"/>
          <w:szCs w:val="44"/>
        </w:rPr>
      </w:pPr>
    </w:p>
    <w:p w14:paraId="25751A1D">
      <w:pPr>
        <w:spacing w:line="560" w:lineRule="exact"/>
        <w:jc w:val="center"/>
        <w:rPr>
          <w:rFonts w:ascii="方正小标宋简体" w:hAnsi="华文中宋" w:eastAsia="方正小标宋简体"/>
          <w:sz w:val="44"/>
          <w:szCs w:val="44"/>
        </w:rPr>
      </w:pPr>
    </w:p>
    <w:p w14:paraId="187793E5">
      <w:pPr>
        <w:spacing w:line="560" w:lineRule="exact"/>
        <w:jc w:val="center"/>
        <w:rPr>
          <w:rFonts w:ascii="方正小标宋简体" w:hAnsi="华文中宋" w:eastAsia="方正小标宋简体"/>
          <w:sz w:val="44"/>
          <w:szCs w:val="44"/>
        </w:rPr>
      </w:pPr>
    </w:p>
    <w:p w14:paraId="3E716500">
      <w:pPr>
        <w:spacing w:line="560" w:lineRule="exact"/>
        <w:jc w:val="center"/>
        <w:rPr>
          <w:rFonts w:ascii="方正小标宋简体" w:hAnsi="华文中宋" w:eastAsia="方正小标宋简体"/>
          <w:sz w:val="44"/>
          <w:szCs w:val="44"/>
        </w:rPr>
      </w:pPr>
    </w:p>
    <w:p w14:paraId="1F3C7C4E">
      <w:pPr>
        <w:spacing w:line="560" w:lineRule="exact"/>
        <w:jc w:val="center"/>
        <w:rPr>
          <w:rFonts w:ascii="方正小标宋简体" w:hAnsi="华文中宋" w:eastAsia="方正小标宋简体"/>
          <w:sz w:val="44"/>
          <w:szCs w:val="44"/>
        </w:rPr>
      </w:pPr>
    </w:p>
    <w:p w14:paraId="6E7984DD">
      <w:pPr>
        <w:spacing w:line="560" w:lineRule="exact"/>
        <w:jc w:val="center"/>
        <w:rPr>
          <w:rFonts w:ascii="方正小标宋简体" w:hAnsi="华文中宋" w:eastAsia="方正小标宋简体"/>
          <w:sz w:val="28"/>
          <w:szCs w:val="44"/>
        </w:rPr>
      </w:pPr>
      <w:r>
        <w:rPr>
          <w:rFonts w:hint="eastAsia" w:ascii="方正小标宋简体" w:hAnsi="华文中宋" w:eastAsia="方正小标宋简体"/>
          <w:sz w:val="28"/>
          <w:szCs w:val="44"/>
        </w:rPr>
        <w:t>中国国际投资促进会</w:t>
      </w:r>
    </w:p>
    <w:p w14:paraId="46EB0BE5">
      <w:pPr>
        <w:spacing w:line="560" w:lineRule="exact"/>
        <w:jc w:val="center"/>
        <w:rPr>
          <w:rFonts w:ascii="方正小标宋简体" w:hAnsi="华文中宋" w:eastAsia="方正小标宋简体"/>
          <w:sz w:val="28"/>
          <w:szCs w:val="44"/>
        </w:rPr>
      </w:pPr>
      <w:r>
        <w:rPr>
          <w:rFonts w:hint="eastAsia" w:ascii="方正小标宋简体" w:hAnsi="华文中宋" w:eastAsia="方正小标宋简体"/>
          <w:sz w:val="28"/>
          <w:szCs w:val="44"/>
        </w:rPr>
        <w:t>2</w:t>
      </w:r>
      <w:r>
        <w:rPr>
          <w:rFonts w:ascii="方正小标宋简体" w:hAnsi="华文中宋" w:eastAsia="方正小标宋简体"/>
          <w:sz w:val="28"/>
          <w:szCs w:val="44"/>
        </w:rPr>
        <w:t>02</w:t>
      </w:r>
      <w:r>
        <w:rPr>
          <w:rFonts w:hint="eastAsia" w:ascii="方正小标宋简体" w:hAnsi="华文中宋" w:eastAsia="方正小标宋简体"/>
          <w:sz w:val="28"/>
          <w:szCs w:val="44"/>
          <w:lang w:val="en-US" w:eastAsia="zh-CN"/>
        </w:rPr>
        <w:t>5</w:t>
      </w:r>
      <w:r>
        <w:rPr>
          <w:rFonts w:hint="eastAsia" w:ascii="方正小标宋简体" w:hAnsi="华文中宋" w:eastAsia="方正小标宋简体"/>
          <w:sz w:val="28"/>
          <w:szCs w:val="44"/>
        </w:rPr>
        <w:t>年7月1日</w:t>
      </w:r>
    </w:p>
    <w:p w14:paraId="7FE433EA">
      <w:pPr>
        <w:spacing w:line="560" w:lineRule="exact"/>
        <w:jc w:val="center"/>
        <w:rPr>
          <w:rFonts w:ascii="方正小标宋简体" w:hAnsi="华文中宋" w:eastAsia="方正小标宋简体"/>
          <w:sz w:val="32"/>
          <w:szCs w:val="44"/>
        </w:rPr>
        <w:sectPr>
          <w:footerReference r:id="rId3" w:type="default"/>
          <w:footerReference r:id="rId4" w:type="even"/>
          <w:type w:val="evenPage"/>
          <w:pgSz w:w="11906" w:h="16838"/>
          <w:pgMar w:top="1440" w:right="1797" w:bottom="1440" w:left="1797" w:header="851" w:footer="992" w:gutter="0"/>
          <w:pgNumType w:start="1"/>
          <w:cols w:space="425" w:num="1"/>
          <w:titlePg/>
          <w:docGrid w:type="lines" w:linePitch="312" w:charSpace="0"/>
        </w:sectPr>
      </w:pPr>
    </w:p>
    <w:p w14:paraId="59AC52A6">
      <w:pPr>
        <w:spacing w:line="560" w:lineRule="exact"/>
        <w:jc w:val="center"/>
        <w:rPr>
          <w:rFonts w:ascii="方正小标宋简体" w:hAnsi="华文中宋" w:eastAsia="方正小标宋简体"/>
          <w:sz w:val="32"/>
          <w:szCs w:val="44"/>
        </w:rPr>
      </w:pPr>
    </w:p>
    <w:p w14:paraId="651DD382">
      <w:pPr>
        <w:spacing w:line="560" w:lineRule="exact"/>
        <w:jc w:val="center"/>
        <w:rPr>
          <w:rFonts w:ascii="汉仪中宋简" w:eastAsia="汉仪中宋简"/>
          <w:sz w:val="44"/>
          <w:szCs w:val="44"/>
          <w:lang w:val="zh-CN"/>
        </w:rPr>
      </w:pPr>
      <w:r>
        <w:rPr>
          <w:rFonts w:hint="eastAsia" w:ascii="汉仪中宋简" w:eastAsia="汉仪中宋简"/>
          <w:sz w:val="44"/>
          <w:szCs w:val="44"/>
          <w:lang w:val="zh-CN"/>
        </w:rPr>
        <w:t>目 录</w:t>
      </w:r>
      <w:bookmarkStart w:id="23" w:name="_GoBack"/>
      <w:bookmarkEnd w:id="23"/>
    </w:p>
    <w:p w14:paraId="44481817">
      <w:pPr>
        <w:spacing w:line="560" w:lineRule="exact"/>
        <w:jc w:val="center"/>
        <w:rPr>
          <w:rFonts w:hint="eastAsia" w:ascii="方正仿宋_GB2312" w:hAnsi="方正仿宋_GB2312" w:eastAsia="方正仿宋_GB2312" w:cs="方正仿宋_GB2312"/>
          <w:sz w:val="44"/>
          <w:szCs w:val="44"/>
        </w:rPr>
      </w:pPr>
    </w:p>
    <w:p w14:paraId="58CBDE1D">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TOC \o "1-3" \h \z \u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_Toc30325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一、任务来源，起草单位，协作单位，主要起草人</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_Toc30325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fldChar w:fldCharType="end"/>
      </w:r>
    </w:p>
    <w:p w14:paraId="1223ACC1">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_Toc30233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二、制定标准的必要性和意义</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_Toc30233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56F6D48B">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_Toc8114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三、主要工作过程</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_Toc8114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229D14E0">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_Toc23023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四、制定标准的原则和依据，与现行法律、法规、标准的关系</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_Toc23023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5</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6BBDCA39">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_Toc27971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五、主要条款的说明，主要技术指标、参数、实验验证的论述</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_Toc27971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6</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2207D763">
      <w:pPr>
        <w:pStyle w:val="7"/>
        <w:tabs>
          <w:tab w:val="right" w:leader="dot" w:pos="8312"/>
        </w:tabs>
        <w:ind w:left="0" w:leftChars="0"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_Toc23517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六、重大意见分歧的处理依据和结果</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_Toc23517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03A36071">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_Toc31807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七、采用国际标准和国外先进标准的，说明采标程度，以及与国内外同类标准水平的对比情况</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_Toc31807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237323DF">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_Toc11051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八、作为推荐性标准或者强制性标准的建议及其理由</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_Toc11051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34ED40B2">
      <w:pPr>
        <w:pStyle w:val="6"/>
        <w:tabs>
          <w:tab w:val="right" w:leader="dot" w:pos="8312"/>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_Toc5856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九、贯彻标准的措施建议</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_Toc5856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500855F2">
      <w:pPr>
        <w:pStyle w:val="6"/>
        <w:tabs>
          <w:tab w:val="right" w:leader="dot" w:pos="8312"/>
        </w:tabs>
        <w:rPr>
          <w:rFonts w:hint="eastAsia" w:ascii="方正仿宋_GB2312" w:hAnsi="方正仿宋_GB2312" w:eastAsia="方正仿宋_GB2312" w:cs="方正仿宋_GB2312"/>
        </w:rPr>
      </w:pPr>
      <w:r>
        <w:rPr>
          <w:rFonts w:hint="eastAsia" w:ascii="方正仿宋_GB2312" w:hAnsi="方正仿宋_GB2312" w:eastAsia="方正仿宋_GB2312" w:cs="方正仿宋_GB2312"/>
          <w:bCs/>
          <w:sz w:val="28"/>
          <w:szCs w:val="28"/>
          <w:lang w:val="zh-CN"/>
        </w:rPr>
        <w:fldChar w:fldCharType="begin"/>
      </w:r>
      <w:r>
        <w:rPr>
          <w:rFonts w:hint="eastAsia" w:ascii="方正仿宋_GB2312" w:hAnsi="方正仿宋_GB2312" w:eastAsia="方正仿宋_GB2312" w:cs="方正仿宋_GB2312"/>
          <w:bCs/>
          <w:sz w:val="28"/>
          <w:szCs w:val="28"/>
          <w:lang w:val="zh-CN"/>
        </w:rPr>
        <w:instrText xml:space="preserve"> HYPERLINK \l _Toc12359 </w:instrText>
      </w:r>
      <w:r>
        <w:rPr>
          <w:rFonts w:hint="eastAsia" w:ascii="方正仿宋_GB2312" w:hAnsi="方正仿宋_GB2312" w:eastAsia="方正仿宋_GB2312" w:cs="方正仿宋_GB2312"/>
          <w:bCs/>
          <w:sz w:val="28"/>
          <w:szCs w:val="28"/>
          <w:lang w:val="zh-CN"/>
        </w:rPr>
        <w:fldChar w:fldCharType="separate"/>
      </w:r>
      <w:r>
        <w:rPr>
          <w:rFonts w:hint="eastAsia" w:ascii="方正仿宋_GB2312" w:hAnsi="方正仿宋_GB2312" w:eastAsia="方正仿宋_GB2312" w:cs="方正仿宋_GB2312"/>
          <w:sz w:val="28"/>
          <w:szCs w:val="28"/>
        </w:rPr>
        <w:t>十、其他应说明的事项</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_Toc12359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lang w:val="zh-CN"/>
        </w:rPr>
        <w:fldChar w:fldCharType="end"/>
      </w:r>
    </w:p>
    <w:p w14:paraId="6B5AC177">
      <w:pPr>
        <w:spacing w:line="560" w:lineRule="exact"/>
        <w:rPr>
          <w:rFonts w:hint="eastAsia" w:ascii="仿宋" w:hAnsi="仿宋" w:eastAsia="仿宋" w:cs="仿宋"/>
          <w:b/>
          <w:bCs/>
          <w:sz w:val="28"/>
          <w:szCs w:val="28"/>
          <w:lang w:val="zh-CN"/>
        </w:rPr>
      </w:pPr>
      <w:r>
        <w:rPr>
          <w:rFonts w:hint="eastAsia" w:ascii="方正仿宋_GB2312" w:hAnsi="方正仿宋_GB2312" w:eastAsia="方正仿宋_GB2312" w:cs="方正仿宋_GB2312"/>
          <w:bCs/>
          <w:szCs w:val="28"/>
          <w:lang w:val="zh-CN"/>
        </w:rPr>
        <w:fldChar w:fldCharType="end"/>
      </w:r>
    </w:p>
    <w:p w14:paraId="13BCD836">
      <w:pPr>
        <w:spacing w:line="560" w:lineRule="exact"/>
        <w:rPr>
          <w:b/>
          <w:bCs/>
          <w:sz w:val="28"/>
          <w:szCs w:val="28"/>
          <w:lang w:val="zh-CN"/>
        </w:rPr>
      </w:pPr>
    </w:p>
    <w:p w14:paraId="0785F3E8">
      <w:pPr>
        <w:spacing w:line="560" w:lineRule="exact"/>
        <w:rPr>
          <w:b/>
          <w:bCs/>
          <w:sz w:val="28"/>
          <w:szCs w:val="28"/>
          <w:lang w:val="zh-CN"/>
        </w:rPr>
        <w:sectPr>
          <w:pgSz w:w="11906" w:h="16838"/>
          <w:pgMar w:top="1440" w:right="1797" w:bottom="1440" w:left="1797" w:header="851" w:footer="992" w:gutter="0"/>
          <w:pgNumType w:fmt="upperRoman" w:start="1"/>
          <w:cols w:space="425" w:num="1"/>
          <w:docGrid w:type="lines" w:linePitch="312" w:charSpace="0"/>
        </w:sectPr>
      </w:pPr>
    </w:p>
    <w:p w14:paraId="25D233C4">
      <w:pPr>
        <w:pStyle w:val="2"/>
        <w:spacing w:before="0" w:after="0" w:line="560" w:lineRule="exact"/>
        <w:ind w:firstLine="643" w:firstLineChars="200"/>
        <w:rPr>
          <w:rFonts w:ascii="仿宋_GB2312" w:eastAsia="仿宋_GB2312"/>
          <w:sz w:val="32"/>
        </w:rPr>
      </w:pPr>
      <w:bookmarkStart w:id="1" w:name="_Toc30325"/>
      <w:bookmarkStart w:id="2" w:name="_Hlk99476530"/>
      <w:r>
        <w:rPr>
          <w:rFonts w:hint="eastAsia" w:ascii="仿宋_GB2312" w:eastAsia="仿宋_GB2312"/>
          <w:sz w:val="32"/>
        </w:rPr>
        <w:t>一、任务来源，起草单位，协作单位，主要起草人</w:t>
      </w:r>
      <w:bookmarkEnd w:id="1"/>
    </w:p>
    <w:p w14:paraId="2552C5E0">
      <w:pPr>
        <w:spacing w:line="560" w:lineRule="exact"/>
        <w:ind w:firstLine="640"/>
        <w:rPr>
          <w:rFonts w:hint="eastAsia" w:ascii="仿宋_GB2312" w:eastAsia="仿宋_GB2312"/>
          <w:sz w:val="32"/>
          <w:szCs w:val="32"/>
        </w:rPr>
      </w:pPr>
      <w:r>
        <w:rPr>
          <w:rFonts w:hint="default" w:ascii="仿宋_GB2312" w:eastAsia="仿宋_GB2312"/>
          <w:sz w:val="32"/>
          <w:szCs w:val="32"/>
          <w:lang w:val="en-US" w:eastAsia="zh-CN"/>
        </w:rPr>
        <w:t>在全球积极应对气候变化、大力推进碳减排的大背景下，建筑领域作为碳排放的重要源头之一，其绿色低碳转型迫在眉睫。商务楼宇作为城市建筑的关键构成，在日常运营中消耗大量能源并产生可观碳排放，对全球碳减排目标的实现影响深远。</w:t>
      </w:r>
    </w:p>
    <w:p w14:paraId="581DE0B3">
      <w:pPr>
        <w:spacing w:line="560" w:lineRule="exact"/>
        <w:ind w:firstLine="640"/>
        <w:rPr>
          <w:rFonts w:hint="eastAsia" w:ascii="仿宋_GB2312" w:eastAsia="仿宋_GB2312"/>
          <w:sz w:val="32"/>
          <w:szCs w:val="32"/>
        </w:rPr>
      </w:pPr>
      <w:r>
        <w:rPr>
          <w:rFonts w:hint="default" w:ascii="仿宋_GB2312" w:eastAsia="仿宋_GB2312"/>
          <w:sz w:val="32"/>
          <w:szCs w:val="32"/>
          <w:lang w:val="en-US" w:eastAsia="zh-CN"/>
        </w:rPr>
        <w:t>从国际视角看，全球绿色建筑委员会等国际组织在推动绿色建筑和零碳建筑发展方面成果斐然，积累了丰富经验，国际上也涌现出诸多商业楼宇零碳运营的标准与实践案例。然而，我国商务楼宇的发展具有自身特性，在建筑风格、功能布局、运营模式以及能源结构等方面与国际情况存在差异，难以直接套用国际现成标准。为提升我国商业楼宇在国际市场的竞争力，推动其可持续发展，亟需结合我国国情，制定与之适配的评价规范。</w:t>
      </w:r>
    </w:p>
    <w:p w14:paraId="1E269E1E">
      <w:pPr>
        <w:spacing w:line="560" w:lineRule="exact"/>
        <w:ind w:firstLine="640"/>
        <w:rPr>
          <w:rFonts w:hint="eastAsia" w:ascii="仿宋_GB2312" w:eastAsia="仿宋_GB2312"/>
          <w:sz w:val="32"/>
          <w:szCs w:val="32"/>
        </w:rPr>
      </w:pPr>
      <w:r>
        <w:rPr>
          <w:rFonts w:hint="default" w:ascii="仿宋_GB2312" w:eastAsia="仿宋_GB2312"/>
          <w:sz w:val="32"/>
          <w:szCs w:val="32"/>
          <w:lang w:val="en-US" w:eastAsia="zh-CN"/>
        </w:rPr>
        <w:t>聚焦国内现状，一方面，国家对碳达峰、碳中和目标的推进坚定不移，建筑领域作为碳排放大户，急需有效减碳举措。商务楼宇在能源利用、碳排放管理等方面存在较大提升空间，通过制定并实施相关评价规范，能够引导其采用先进节能技术、优化能源结构，大幅提高能源利用效率，减少碳排放，为国家 “双碳” 目标助力。另一方面，目前国内相关标准存在局限性。现有标准多将评价重点置于 “建筑本身”，忽视 “运营主体” 的关键作用。而实际上，建筑运营者的管理水平、低碳运营能力，以及为租户提供可持续发展附加价值的能力，对楼宇整体碳排放状况影响重大。同时，现有标准多侧重最终成果验证，如是否达到碳中和建筑、零碳建筑标准，却缺乏对目标设定、实现路径规划、行动监督与改进等过程性内容的明确指引。</w:t>
      </w:r>
    </w:p>
    <w:p w14:paraId="42E01DBA">
      <w:pPr>
        <w:spacing w:line="560" w:lineRule="exact"/>
        <w:ind w:firstLine="640"/>
        <w:rPr>
          <w:rFonts w:hint="default" w:ascii="仿宋_GB2312" w:eastAsia="仿宋_GB2312"/>
          <w:sz w:val="32"/>
          <w:szCs w:val="32"/>
        </w:rPr>
      </w:pPr>
      <w:r>
        <w:rPr>
          <w:rFonts w:hint="default" w:ascii="仿宋_GB2312" w:eastAsia="仿宋_GB2312"/>
          <w:sz w:val="32"/>
          <w:szCs w:val="32"/>
          <w:lang w:val="en-US" w:eastAsia="zh-CN"/>
        </w:rPr>
        <w:t>在此形势下，《商务楼宇净零运营与碳中和评价规范》团体标准的起草应运而生。</w:t>
      </w:r>
    </w:p>
    <w:p w14:paraId="2B13A89C">
      <w:pPr>
        <w:spacing w:line="560" w:lineRule="exact"/>
        <w:ind w:firstLine="640"/>
        <w:rPr>
          <w:rFonts w:ascii="仿宋_GB2312" w:eastAsia="仿宋_GB2312"/>
          <w:sz w:val="32"/>
          <w:szCs w:val="32"/>
        </w:rPr>
      </w:pPr>
      <w:r>
        <w:rPr>
          <w:rFonts w:hint="eastAsia" w:ascii="仿宋_GB2312" w:eastAsia="仿宋_GB2312"/>
          <w:sz w:val="32"/>
          <w:szCs w:val="32"/>
        </w:rPr>
        <w:t>本文件起草单位：中国国际投资促进会、</w:t>
      </w:r>
      <w:r>
        <w:rPr>
          <w:rFonts w:hint="eastAsia" w:ascii="仿宋_GB2312" w:eastAsia="仿宋_GB2312"/>
          <w:sz w:val="32"/>
          <w:szCs w:val="32"/>
          <w:lang w:val="en-US" w:eastAsia="zh-CN"/>
        </w:rPr>
        <w:t>中国建筑运营管理研究院有限公司</w:t>
      </w:r>
      <w:r>
        <w:rPr>
          <w:rFonts w:hint="eastAsia" w:ascii="仿宋_GB2312" w:eastAsia="仿宋_GB2312"/>
          <w:sz w:val="32"/>
          <w:szCs w:val="32"/>
        </w:rPr>
        <w:t>、</w:t>
      </w:r>
      <w:r>
        <w:rPr>
          <w:rFonts w:hint="eastAsia" w:ascii="仿宋_GB2312" w:eastAsia="仿宋_GB2312"/>
          <w:sz w:val="32"/>
          <w:szCs w:val="32"/>
          <w:lang w:val="en-US" w:eastAsia="zh-CN"/>
        </w:rPr>
        <w:t>中信商业管理有限公司</w:t>
      </w:r>
      <w:r>
        <w:rPr>
          <w:rFonts w:hint="eastAsia" w:ascii="仿宋_GB2312" w:eastAsia="仿宋_GB2312"/>
          <w:sz w:val="32"/>
          <w:szCs w:val="32"/>
        </w:rPr>
        <w:t>、</w:t>
      </w:r>
      <w:r>
        <w:rPr>
          <w:rFonts w:hint="eastAsia" w:ascii="仿宋_GB2312" w:eastAsia="仿宋_GB2312"/>
          <w:sz w:val="32"/>
          <w:szCs w:val="32"/>
          <w:lang w:val="en-US" w:eastAsia="zh-CN"/>
        </w:rPr>
        <w:t>华润万象生活有限公司、中信和业资产管理有限公司、华贸集团、智园空间管理有限公司、嘉里建设有限公司、兆泰集团、北京发展大厦等企业</w:t>
      </w:r>
      <w:r>
        <w:rPr>
          <w:rFonts w:hint="eastAsia" w:ascii="仿宋_GB2312" w:eastAsia="仿宋_GB2312"/>
          <w:sz w:val="32"/>
          <w:szCs w:val="32"/>
        </w:rPr>
        <w:t>（待补充）。</w:t>
      </w:r>
    </w:p>
    <w:p w14:paraId="2C3844D6">
      <w:pPr>
        <w:spacing w:line="560" w:lineRule="exact"/>
        <w:ind w:firstLine="640"/>
        <w:rPr>
          <w:rFonts w:hint="eastAsia" w:ascii="仿宋_GB2312" w:eastAsia="仿宋_GB2312"/>
          <w:sz w:val="32"/>
          <w:szCs w:val="32"/>
        </w:rPr>
      </w:pPr>
      <w:r>
        <w:rPr>
          <w:rFonts w:hint="eastAsia" w:ascii="仿宋_GB2312" w:eastAsia="仿宋_GB2312"/>
          <w:sz w:val="32"/>
          <w:szCs w:val="32"/>
        </w:rPr>
        <w:t>本文件主要起草人：周晓燕、</w:t>
      </w:r>
      <w:r>
        <w:rPr>
          <w:rFonts w:hint="eastAsia" w:ascii="仿宋_GB2312" w:eastAsia="仿宋_GB2312"/>
          <w:sz w:val="32"/>
          <w:szCs w:val="32"/>
          <w:lang w:val="en-US" w:eastAsia="zh-CN"/>
        </w:rPr>
        <w:t>廖亮、刘勇、齐燕妮、金永、张丽文、张丽君</w:t>
      </w:r>
      <w:r>
        <w:rPr>
          <w:rFonts w:hint="eastAsia" w:ascii="仿宋_GB2312" w:eastAsia="仿宋_GB2312"/>
          <w:sz w:val="32"/>
          <w:szCs w:val="32"/>
        </w:rPr>
        <w:t>（待补充）</w:t>
      </w:r>
    </w:p>
    <w:p w14:paraId="05B58942">
      <w:pPr>
        <w:pStyle w:val="2"/>
        <w:spacing w:before="0" w:after="0" w:line="560" w:lineRule="exact"/>
        <w:ind w:firstLine="643" w:firstLineChars="200"/>
        <w:rPr>
          <w:rFonts w:ascii="仿宋_GB2312" w:eastAsia="仿宋_GB2312"/>
          <w:sz w:val="32"/>
        </w:rPr>
      </w:pPr>
      <w:bookmarkStart w:id="3" w:name="_Toc30233"/>
      <w:r>
        <w:rPr>
          <w:rFonts w:hint="eastAsia" w:ascii="仿宋_GB2312" w:eastAsia="仿宋_GB2312"/>
          <w:sz w:val="32"/>
        </w:rPr>
        <w:t>二、制定标准的必要性和意义</w:t>
      </w:r>
      <w:bookmarkEnd w:id="3"/>
    </w:p>
    <w:p w14:paraId="2B84B453">
      <w:pPr>
        <w:spacing w:line="560" w:lineRule="exact"/>
        <w:ind w:firstLine="640" w:firstLineChars="200"/>
        <w:rPr>
          <w:rFonts w:hint="eastAsia" w:ascii="仿宋_GB2312" w:eastAsia="仿宋_GB2312"/>
          <w:sz w:val="32"/>
        </w:rPr>
      </w:pPr>
      <w:r>
        <w:rPr>
          <w:rFonts w:hint="eastAsia" w:ascii="仿宋_GB2312" w:eastAsia="仿宋_GB2312"/>
          <w:sz w:val="32"/>
        </w:rPr>
        <w:t>助力国家 “双碳” 战略落地</w:t>
      </w:r>
      <w:r>
        <w:rPr>
          <w:rFonts w:hint="default" w:ascii="仿宋_GB2312" w:eastAsia="仿宋_GB2312"/>
          <w:sz w:val="32"/>
        </w:rPr>
        <w:t>：建筑领域是我国碳排放的重要组成部分，商务楼宇作为城市建筑的核心载体，其运营过程中的能源消耗与碳排放不容小觑。该标准通过明确商务楼宇净零运营与碳中和的目标、路径和评价指标，为商务楼宇制定科学合理的碳减排计划提供了清晰指引，有助于将国家 “双碳” 战略目标精准落实到商务楼宇的日常运营管理中，推动建筑行业在实现碳达峰、碳中和进程中发挥积极作用，加快国家绿色低碳转型步伐。</w:t>
      </w:r>
    </w:p>
    <w:p w14:paraId="0512F146">
      <w:pPr>
        <w:spacing w:line="560" w:lineRule="exact"/>
        <w:ind w:firstLine="640" w:firstLineChars="200"/>
        <w:rPr>
          <w:rFonts w:hint="eastAsia" w:ascii="仿宋_GB2312" w:eastAsia="仿宋_GB2312"/>
          <w:sz w:val="32"/>
        </w:rPr>
      </w:pPr>
      <w:r>
        <w:rPr>
          <w:rFonts w:hint="default" w:ascii="仿宋_GB2312" w:eastAsia="仿宋_GB2312"/>
          <w:sz w:val="32"/>
        </w:rPr>
        <w:t>规范行业低碳发展秩序：当前商务楼宇在低碳运营和碳中和实践方面缺乏统一规范，导致市场上相关概念模糊、标准不一，部分企业的低碳行动存在盲目性和随意性。该标准的出台，填补了商务楼宇净零运营与碳中和评价的空白，为行业提供了一套系统、全面、科学的评价体系和操作指南，有助于规范商务楼宇低碳运营市场，促进企业之间的公平竞争，推动行业朝着规范化、标准化方向发展，提升整个商务楼宇行业的低碳发展水平。</w:t>
      </w:r>
    </w:p>
    <w:p w14:paraId="5C0FE5B2">
      <w:pPr>
        <w:spacing w:line="560" w:lineRule="exact"/>
        <w:ind w:firstLine="640" w:firstLineChars="200"/>
        <w:rPr>
          <w:rFonts w:hint="eastAsia" w:ascii="仿宋_GB2312" w:eastAsia="仿宋_GB2312"/>
          <w:sz w:val="32"/>
        </w:rPr>
      </w:pPr>
      <w:r>
        <w:rPr>
          <w:rFonts w:hint="default" w:ascii="仿宋_GB2312" w:eastAsia="仿宋_GB2312"/>
          <w:sz w:val="32"/>
        </w:rPr>
        <w:t>提升企业竞争力与可持续发展能力：对于商务楼宇运营企业而言，遵循该标准开展净零运营和碳中和工作，能够促使企业主动采用先进的节能技术、优化能源管理系统、调整能源结构，从而有效降低运营成本，提高能源利用效率。同时，积极践行低碳发展理念，达到净零运营和碳中和目标，有助于企业塑造绿色、环保、可持续的品牌形象，增强企业在市场中的竞争力和吸引力，满足租户对绿色办公环境的需求，吸引更多优质企业入驻，实现企业经济效益与环境效益的双赢，为企业的长期稳定发展奠定坚实基础。</w:t>
      </w:r>
    </w:p>
    <w:p w14:paraId="23C08E6E">
      <w:pPr>
        <w:spacing w:line="560" w:lineRule="exact"/>
        <w:ind w:firstLine="640" w:firstLineChars="200"/>
        <w:rPr>
          <w:rFonts w:hint="eastAsia" w:ascii="仿宋_GB2312" w:eastAsia="仿宋_GB2312"/>
          <w:sz w:val="32"/>
        </w:rPr>
      </w:pPr>
      <w:r>
        <w:rPr>
          <w:rFonts w:hint="default" w:ascii="仿宋_GB2312" w:eastAsia="仿宋_GB2312"/>
          <w:sz w:val="32"/>
        </w:rPr>
        <w:t>促进产业链协同绿色转型：商务楼宇的运营涉及能源供应、建筑材料、设备制造、物业管理等多个上下游产业。该标准的实施，将带动整个产业链围绕商务楼宇的低碳需求进行技术创新和产品升级，推动上下游企业共同探索绿色低碳发展模式，加强产业链各环节之间的协同合作，促进产业链向绿色化、低碳化方向转型，形成绿色低碳发展的产业生态，提升整个产业链的可持续发展能力。</w:t>
      </w:r>
    </w:p>
    <w:p w14:paraId="2555F48C">
      <w:pPr>
        <w:spacing w:line="560" w:lineRule="exact"/>
        <w:ind w:firstLine="640" w:firstLineChars="200"/>
        <w:rPr>
          <w:rFonts w:hint="default" w:ascii="仿宋_GB2312" w:eastAsia="仿宋_GB2312"/>
          <w:sz w:val="32"/>
        </w:rPr>
      </w:pPr>
      <w:r>
        <w:rPr>
          <w:rFonts w:hint="default" w:ascii="仿宋_GB2312" w:eastAsia="仿宋_GB2312"/>
          <w:sz w:val="32"/>
        </w:rPr>
        <w:t>推动国际交流与合作：在全球应对气候变化、共同推进碳中和的大背景下，该标准的制定使我国商务楼宇在低碳发展领域拥有了与国际接轨的本土标准。这不仅有助于我国商务楼宇行业在国际市场上提升话语权和竞争力，还为国内外企业、机构之间开展绿色建筑、低碳运营等领域的交流与合作搭建了平台，促进我国商务楼宇行业学习借鉴国际先进经验和技术，推动我国商务楼宇行业在全球低碳发展浪潮中实现高质量发展。</w:t>
      </w:r>
    </w:p>
    <w:p w14:paraId="26739ADF">
      <w:pPr>
        <w:spacing w:line="560" w:lineRule="exact"/>
        <w:ind w:firstLine="640" w:firstLineChars="200"/>
        <w:rPr>
          <w:rFonts w:hint="default" w:ascii="仿宋_GB2312" w:eastAsia="仿宋_GB2312"/>
          <w:sz w:val="32"/>
        </w:rPr>
      </w:pPr>
    </w:p>
    <w:p w14:paraId="6D935960">
      <w:pPr>
        <w:pStyle w:val="2"/>
        <w:spacing w:before="0" w:after="0" w:line="560" w:lineRule="exact"/>
        <w:ind w:firstLine="643" w:firstLineChars="200"/>
        <w:rPr>
          <w:rFonts w:ascii="仿宋_GB2312" w:eastAsia="仿宋_GB2312"/>
          <w:sz w:val="32"/>
        </w:rPr>
      </w:pPr>
      <w:bookmarkStart w:id="4" w:name="_Toc8114"/>
      <w:r>
        <w:rPr>
          <w:rFonts w:hint="eastAsia" w:ascii="仿宋_GB2312" w:eastAsia="仿宋_GB2312"/>
          <w:sz w:val="32"/>
        </w:rPr>
        <w:t>三、主要工作过程</w:t>
      </w:r>
      <w:bookmarkEnd w:id="4"/>
    </w:p>
    <w:p w14:paraId="48D8B2C2">
      <w:pPr>
        <w:spacing w:line="560" w:lineRule="exact"/>
        <w:ind w:firstLine="640" w:firstLineChars="200"/>
        <w:outlineLvl w:val="1"/>
        <w:rPr>
          <w:rFonts w:ascii="仿宋_GB2312" w:eastAsia="仿宋_GB2312"/>
          <w:sz w:val="32"/>
        </w:rPr>
      </w:pPr>
      <w:bookmarkStart w:id="5" w:name="_Toc22029"/>
      <w:r>
        <w:rPr>
          <w:rFonts w:hint="eastAsia" w:ascii="仿宋_GB2312" w:eastAsia="仿宋_GB2312"/>
          <w:sz w:val="32"/>
        </w:rPr>
        <w:t>（一）前期研究阶段</w:t>
      </w:r>
      <w:bookmarkEnd w:id="5"/>
    </w:p>
    <w:p w14:paraId="3C4E921F">
      <w:pPr>
        <w:spacing w:line="560" w:lineRule="exact"/>
        <w:ind w:firstLine="640" w:firstLineChars="200"/>
        <w:rPr>
          <w:rFonts w:hint="eastAsia" w:ascii="仿宋_GB2312" w:eastAsia="仿宋_GB2312"/>
          <w:sz w:val="32"/>
        </w:rPr>
      </w:pPr>
      <w:r>
        <w:rPr>
          <w:rFonts w:hint="eastAsia" w:ascii="仿宋_GB2312" w:eastAsia="仿宋_GB2312"/>
          <w:sz w:val="32"/>
        </w:rPr>
        <w:t xml:space="preserve">由中国国际投资促进会牵头，联合中国商业楼宇零碳倡议相关单位，组建了一支跨领域、跨学科的专业研究团队。团队成员涵盖建筑节能专家、环境科学学者、能源管理工程师、物业管理行业资深从业者以及标准化领域专业人员等 </w:t>
      </w:r>
      <w:r>
        <w:rPr>
          <w:rFonts w:hint="eastAsia" w:ascii="仿宋_GB2312" w:eastAsia="仿宋_GB2312"/>
          <w:sz w:val="32"/>
          <w:lang w:val="en-US" w:eastAsia="zh-CN"/>
        </w:rPr>
        <w:t>50</w:t>
      </w:r>
      <w:r>
        <w:rPr>
          <w:rFonts w:hint="eastAsia" w:ascii="仿宋_GB2312" w:eastAsia="仿宋_GB2312"/>
          <w:sz w:val="32"/>
        </w:rPr>
        <w:t xml:space="preserve"> 余人。明确各成员的职责分工，建立定期沟通协作机制，通过线上线下会议、专题研讨等形式，围绕商务楼宇净零运营与碳中和评价的关键问题展开深入讨论，整合各方专业知识与经验，确保标准制定的科学性、专业性和实用性。</w:t>
      </w:r>
    </w:p>
    <w:p w14:paraId="2D487A57">
      <w:pPr>
        <w:spacing w:line="560" w:lineRule="exact"/>
        <w:ind w:firstLine="640" w:firstLineChars="200"/>
        <w:outlineLvl w:val="1"/>
        <w:rPr>
          <w:rFonts w:ascii="仿宋_GB2312" w:eastAsia="仿宋_GB2312"/>
          <w:sz w:val="32"/>
        </w:rPr>
      </w:pPr>
      <w:bookmarkStart w:id="6" w:name="_Toc21369"/>
      <w:r>
        <w:rPr>
          <w:rFonts w:hint="eastAsia" w:ascii="仿宋_GB2312" w:eastAsia="仿宋_GB2312"/>
          <w:sz w:val="32"/>
        </w:rPr>
        <w:t>（二）标准立项</w:t>
      </w:r>
      <w:bookmarkEnd w:id="6"/>
    </w:p>
    <w:p w14:paraId="508A3598">
      <w:pPr>
        <w:spacing w:line="560" w:lineRule="exact"/>
        <w:ind w:firstLine="640" w:firstLineChars="200"/>
        <w:rPr>
          <w:rFonts w:hint="eastAsia"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5</w:t>
      </w:r>
      <w:r>
        <w:rPr>
          <w:rFonts w:hint="eastAsia" w:ascii="仿宋_GB2312" w:eastAsia="仿宋_GB2312"/>
          <w:sz w:val="32"/>
        </w:rPr>
        <w:t>年</w:t>
      </w:r>
      <w:r>
        <w:rPr>
          <w:rFonts w:hint="eastAsia" w:ascii="仿宋_GB2312" w:eastAsia="仿宋_GB2312"/>
          <w:sz w:val="32"/>
          <w:lang w:val="en-US" w:eastAsia="zh-CN"/>
        </w:rPr>
        <w:t>3</w:t>
      </w:r>
      <w:r>
        <w:rPr>
          <w:rFonts w:hint="eastAsia" w:ascii="仿宋_GB2312" w:eastAsia="仿宋_GB2312"/>
          <w:sz w:val="32"/>
        </w:rPr>
        <w:t>月18日，中国国际投资促进会召开了</w:t>
      </w:r>
      <w:r>
        <w:rPr>
          <w:rFonts w:hint="eastAsia" w:ascii="仿宋_GB2312" w:eastAsia="仿宋_GB2312"/>
          <w:sz w:val="32"/>
          <w:lang w:val="en-US" w:eastAsia="zh-CN"/>
        </w:rPr>
        <w:t>线上</w:t>
      </w:r>
      <w:r>
        <w:rPr>
          <w:rFonts w:hint="eastAsia" w:ascii="仿宋_GB2312" w:eastAsia="仿宋_GB2312"/>
          <w:sz w:val="32"/>
        </w:rPr>
        <w:t>会议，会议审查通过了《商</w:t>
      </w:r>
      <w:r>
        <w:rPr>
          <w:rFonts w:hint="eastAsia" w:ascii="仿宋_GB2312" w:eastAsia="仿宋_GB2312"/>
          <w:sz w:val="32"/>
          <w:lang w:val="en-US" w:eastAsia="zh-CN"/>
        </w:rPr>
        <w:t>务</w:t>
      </w:r>
      <w:r>
        <w:rPr>
          <w:rFonts w:hint="eastAsia" w:ascii="仿宋_GB2312" w:eastAsia="仿宋_GB2312"/>
          <w:sz w:val="32"/>
        </w:rPr>
        <w:t>楼宇净零运营与碳中和评价规范</w:t>
      </w:r>
      <w:r>
        <w:rPr>
          <w:rFonts w:hint="eastAsia" w:ascii="仿宋_GB2312" w:eastAsia="仿宋_GB2312"/>
          <w:sz w:val="32"/>
        </w:rPr>
        <w:t>》团体标准立项。</w:t>
      </w:r>
    </w:p>
    <w:p w14:paraId="6136E7D3">
      <w:pPr>
        <w:spacing w:line="560" w:lineRule="exact"/>
        <w:ind w:firstLine="640" w:firstLineChars="200"/>
        <w:outlineLvl w:val="1"/>
        <w:rPr>
          <w:rFonts w:ascii="仿宋_GB2312" w:eastAsia="仿宋_GB2312"/>
          <w:sz w:val="32"/>
        </w:rPr>
      </w:pPr>
      <w:bookmarkStart w:id="7" w:name="_Toc3049"/>
      <w:r>
        <w:rPr>
          <w:rFonts w:hint="eastAsia" w:ascii="仿宋_GB2312" w:eastAsia="仿宋_GB2312"/>
          <w:sz w:val="32"/>
        </w:rPr>
        <w:t>（三）标准草案的形成</w:t>
      </w:r>
      <w:bookmarkEnd w:id="7"/>
    </w:p>
    <w:p w14:paraId="1268812B">
      <w:pPr>
        <w:spacing w:line="560" w:lineRule="exact"/>
        <w:ind w:firstLine="640" w:firstLineChars="200"/>
        <w:rPr>
          <w:rFonts w:ascii="仿宋_GB2312" w:eastAsia="仿宋_GB2312"/>
          <w:sz w:val="32"/>
        </w:rPr>
      </w:pPr>
      <w:r>
        <w:rPr>
          <w:rFonts w:hint="eastAsia" w:ascii="仿宋_GB2312" w:eastAsia="仿宋_GB2312"/>
          <w:sz w:val="32"/>
        </w:rPr>
        <w:t>标准立项后，中国国际投资促进会组建了工作组，开展标准草案的撰写工作，由于之前课题研究基础较好，20</w:t>
      </w:r>
      <w:r>
        <w:rPr>
          <w:rFonts w:ascii="仿宋_GB2312" w:eastAsia="仿宋_GB2312"/>
          <w:sz w:val="32"/>
        </w:rPr>
        <w:t>2</w:t>
      </w:r>
      <w:r>
        <w:rPr>
          <w:rFonts w:hint="eastAsia" w:ascii="仿宋_GB2312" w:eastAsia="仿宋_GB2312"/>
          <w:sz w:val="32"/>
          <w:lang w:val="en-US" w:eastAsia="zh-CN"/>
        </w:rPr>
        <w:t>5</w:t>
      </w:r>
      <w:r>
        <w:rPr>
          <w:rFonts w:hint="eastAsia" w:ascii="仿宋_GB2312" w:eastAsia="仿宋_GB2312"/>
          <w:sz w:val="32"/>
        </w:rPr>
        <w:t>年</w:t>
      </w:r>
      <w:r>
        <w:rPr>
          <w:rFonts w:hint="eastAsia" w:ascii="仿宋_GB2312" w:eastAsia="仿宋_GB2312"/>
          <w:sz w:val="32"/>
          <w:lang w:val="en-US" w:eastAsia="zh-CN"/>
        </w:rPr>
        <w:t>6</w:t>
      </w:r>
      <w:r>
        <w:rPr>
          <w:rFonts w:hint="eastAsia" w:ascii="仿宋_GB2312" w:eastAsia="仿宋_GB2312"/>
          <w:sz w:val="32"/>
        </w:rPr>
        <w:t>月中旬，经过内部讨论后的标准草案形成。</w:t>
      </w:r>
    </w:p>
    <w:p w14:paraId="4E2FF73B">
      <w:pPr>
        <w:pStyle w:val="2"/>
        <w:spacing w:before="0" w:after="0" w:line="560" w:lineRule="exact"/>
        <w:ind w:firstLine="643" w:firstLineChars="200"/>
        <w:rPr>
          <w:rFonts w:ascii="仿宋_GB2312" w:eastAsia="仿宋_GB2312"/>
          <w:sz w:val="32"/>
        </w:rPr>
      </w:pPr>
      <w:bookmarkStart w:id="8" w:name="_Toc23023"/>
      <w:r>
        <w:rPr>
          <w:rFonts w:hint="eastAsia" w:ascii="仿宋_GB2312" w:eastAsia="仿宋_GB2312"/>
          <w:sz w:val="32"/>
        </w:rPr>
        <w:t>四、制定标准的原则和依据，与现行法律、法规、标准的关系</w:t>
      </w:r>
      <w:bookmarkEnd w:id="8"/>
    </w:p>
    <w:p w14:paraId="212C7D82">
      <w:pPr>
        <w:spacing w:line="560" w:lineRule="exact"/>
        <w:ind w:firstLine="640" w:firstLineChars="200"/>
        <w:outlineLvl w:val="1"/>
        <w:rPr>
          <w:rFonts w:ascii="仿宋_GB2312" w:eastAsia="仿宋_GB2312"/>
          <w:sz w:val="32"/>
        </w:rPr>
      </w:pPr>
      <w:bookmarkStart w:id="9" w:name="_Toc11661"/>
      <w:r>
        <w:rPr>
          <w:rFonts w:hint="eastAsia" w:ascii="仿宋_GB2312" w:eastAsia="仿宋_GB2312"/>
          <w:sz w:val="32"/>
        </w:rPr>
        <w:t>（一）</w:t>
      </w:r>
      <w:r>
        <w:rPr>
          <w:rFonts w:ascii="仿宋_GB2312" w:eastAsia="仿宋_GB2312"/>
          <w:sz w:val="32"/>
        </w:rPr>
        <w:t>标准制定的原则</w:t>
      </w:r>
      <w:bookmarkEnd w:id="9"/>
    </w:p>
    <w:p w14:paraId="42D7AD5B">
      <w:pPr>
        <w:spacing w:line="560" w:lineRule="exact"/>
        <w:ind w:firstLine="640" w:firstLineChars="200"/>
        <w:rPr>
          <w:rFonts w:ascii="仿宋_GB2312" w:eastAsia="仿宋_GB2312"/>
          <w:sz w:val="32"/>
        </w:rPr>
      </w:pPr>
      <w:r>
        <w:rPr>
          <w:rFonts w:ascii="仿宋_GB2312" w:eastAsia="仿宋_GB2312"/>
          <w:sz w:val="32"/>
        </w:rPr>
        <w:t>标准制定过程中</w:t>
      </w:r>
      <w:r>
        <w:rPr>
          <w:rFonts w:hint="eastAsia" w:ascii="仿宋_GB2312" w:eastAsia="仿宋_GB2312"/>
          <w:sz w:val="32"/>
        </w:rPr>
        <w:t>有</w:t>
      </w:r>
      <w:r>
        <w:rPr>
          <w:rFonts w:ascii="仿宋_GB2312" w:eastAsia="仿宋_GB2312"/>
          <w:sz w:val="32"/>
        </w:rPr>
        <w:t>三个基本原则</w:t>
      </w:r>
      <w:r>
        <w:rPr>
          <w:rFonts w:hint="eastAsia" w:ascii="仿宋_GB2312" w:eastAsia="仿宋_GB2312"/>
          <w:sz w:val="32"/>
        </w:rPr>
        <w:t>分别为标准的适用性，标准的先进性和标准的统一性。</w:t>
      </w:r>
    </w:p>
    <w:p w14:paraId="672260AF">
      <w:pPr>
        <w:spacing w:line="560" w:lineRule="exact"/>
        <w:ind w:firstLine="640" w:firstLineChars="200"/>
        <w:rPr>
          <w:rFonts w:ascii="仿宋_GB2312" w:eastAsia="仿宋_GB2312"/>
          <w:sz w:val="32"/>
        </w:rPr>
      </w:pPr>
      <w:r>
        <w:rPr>
          <w:rFonts w:hint="eastAsia" w:ascii="仿宋_GB2312" w:eastAsia="仿宋_GB2312"/>
          <w:sz w:val="32"/>
        </w:rPr>
        <w:t>1.标准的适用性。标准应具有很强的实用性，尽量保证更多的数字服务外包从业人员能用较少的时间看懂标准、理解标准并便利的使用标准。</w:t>
      </w:r>
    </w:p>
    <w:p w14:paraId="2CE4179B">
      <w:pPr>
        <w:spacing w:line="560" w:lineRule="exact"/>
        <w:ind w:firstLine="640" w:firstLineChars="200"/>
        <w:rPr>
          <w:rFonts w:ascii="仿宋_GB2312" w:eastAsia="仿宋_GB2312"/>
          <w:sz w:val="32"/>
        </w:rPr>
      </w:pPr>
      <w:r>
        <w:rPr>
          <w:rFonts w:hint="eastAsia" w:ascii="仿宋_GB2312" w:eastAsia="仿宋_GB2312"/>
          <w:sz w:val="32"/>
        </w:rPr>
        <w:t>2.标准的先进性。标准条款的内容符合我国服务外包行业发展的趋势，积极响应国家已经制定出台的法规、政策和标准，与国家正在制定或修订过程中的法规、政策和标准的制定或者修订方向保持一致。</w:t>
      </w:r>
    </w:p>
    <w:p w14:paraId="456A5CB7">
      <w:pPr>
        <w:spacing w:line="560" w:lineRule="exact"/>
        <w:ind w:firstLine="640" w:firstLineChars="200"/>
        <w:rPr>
          <w:rFonts w:ascii="仿宋_GB2312" w:eastAsia="仿宋_GB2312"/>
          <w:sz w:val="32"/>
        </w:rPr>
      </w:pPr>
      <w:r>
        <w:rPr>
          <w:rFonts w:hint="eastAsia" w:ascii="仿宋_GB2312" w:eastAsia="仿宋_GB2312"/>
          <w:sz w:val="32"/>
        </w:rPr>
        <w:t>3.标准的统一性。标准内容条款做最大限度的统一，把类似或者相关的内容进行统一。</w:t>
      </w:r>
    </w:p>
    <w:p w14:paraId="1C73B64B">
      <w:pPr>
        <w:spacing w:line="560" w:lineRule="exact"/>
        <w:ind w:firstLine="640" w:firstLineChars="200"/>
        <w:outlineLvl w:val="1"/>
        <w:rPr>
          <w:rFonts w:ascii="仿宋_GB2312" w:eastAsia="仿宋_GB2312"/>
          <w:sz w:val="32"/>
        </w:rPr>
      </w:pPr>
      <w:bookmarkStart w:id="10" w:name="_Toc20115"/>
      <w:r>
        <w:rPr>
          <w:rFonts w:hint="eastAsia" w:ascii="仿宋_GB2312" w:eastAsia="仿宋_GB2312"/>
          <w:sz w:val="32"/>
        </w:rPr>
        <w:t>（二）标准制定的依据</w:t>
      </w:r>
      <w:bookmarkEnd w:id="10"/>
    </w:p>
    <w:p w14:paraId="1E251E9C">
      <w:pPr>
        <w:spacing w:line="560" w:lineRule="exact"/>
        <w:ind w:firstLine="640" w:firstLineChars="200"/>
        <w:rPr>
          <w:rFonts w:ascii="仿宋_GB2312" w:eastAsia="仿宋_GB2312"/>
          <w:sz w:val="32"/>
        </w:rPr>
      </w:pPr>
      <w:r>
        <w:rPr>
          <w:rFonts w:hint="eastAsia" w:ascii="仿宋_GB2312" w:eastAsia="仿宋_GB2312"/>
          <w:sz w:val="32"/>
        </w:rPr>
        <w:t>1.标准制定过程中主要依据的法律法规标准如下：</w:t>
      </w:r>
    </w:p>
    <w:p w14:paraId="11140577">
      <w:pPr>
        <w:spacing w:line="560" w:lineRule="exact"/>
        <w:ind w:firstLine="640" w:firstLineChars="200"/>
        <w:rPr>
          <w:rFonts w:ascii="仿宋_GB2312" w:eastAsia="仿宋_GB2312"/>
          <w:sz w:val="32"/>
        </w:rPr>
      </w:pPr>
      <w:r>
        <w:rPr>
          <w:rFonts w:hint="eastAsia" w:ascii="仿宋_GB2312" w:eastAsia="仿宋_GB2312"/>
          <w:sz w:val="32"/>
        </w:rPr>
        <w:t>《标准化工作导则 第1部分 标准化文件的结构和起草规则》（</w:t>
      </w:r>
      <w:r>
        <w:rPr>
          <w:rFonts w:ascii="仿宋_GB2312" w:eastAsia="仿宋_GB2312"/>
          <w:sz w:val="32"/>
        </w:rPr>
        <w:t>GB</w:t>
      </w:r>
      <w:r>
        <w:rPr>
          <w:rFonts w:hint="eastAsia" w:ascii="仿宋_GB2312" w:eastAsia="仿宋_GB2312"/>
          <w:sz w:val="32"/>
        </w:rPr>
        <w:t>/</w:t>
      </w:r>
      <w:r>
        <w:rPr>
          <w:rFonts w:ascii="仿宋_GB2312" w:eastAsia="仿宋_GB2312"/>
          <w:sz w:val="32"/>
        </w:rPr>
        <w:t>T</w:t>
      </w:r>
      <w:r>
        <w:rPr>
          <w:rFonts w:hint="eastAsia" w:ascii="仿宋_GB2312" w:eastAsia="仿宋_GB2312"/>
          <w:sz w:val="32"/>
        </w:rPr>
        <w:t xml:space="preserve"> 1.1-</w:t>
      </w:r>
      <w:r>
        <w:rPr>
          <w:rFonts w:ascii="仿宋_GB2312" w:eastAsia="仿宋_GB2312"/>
          <w:sz w:val="32"/>
        </w:rPr>
        <w:t>2020</w:t>
      </w:r>
      <w:r>
        <w:rPr>
          <w:rFonts w:hint="eastAsia" w:ascii="仿宋_GB2312" w:eastAsia="仿宋_GB2312"/>
          <w:sz w:val="32"/>
        </w:rPr>
        <w:t>）；</w:t>
      </w:r>
    </w:p>
    <w:p w14:paraId="482261F3">
      <w:pPr>
        <w:spacing w:line="560" w:lineRule="exact"/>
        <w:ind w:firstLine="640" w:firstLineChars="200"/>
        <w:rPr>
          <w:rFonts w:ascii="仿宋_GB2312" w:eastAsia="仿宋_GB2312"/>
          <w:sz w:val="32"/>
        </w:rPr>
      </w:pPr>
      <w:r>
        <w:rPr>
          <w:rFonts w:hint="eastAsia" w:ascii="仿宋_GB2312" w:eastAsia="仿宋_GB2312"/>
          <w:sz w:val="32"/>
        </w:rPr>
        <w:t>《团体标准 第1部分 良好行为指南》（GB/T 200004.1-2016）；</w:t>
      </w:r>
    </w:p>
    <w:p w14:paraId="2E541CF6">
      <w:pPr>
        <w:spacing w:line="560" w:lineRule="exact"/>
        <w:ind w:firstLine="640" w:firstLineChars="200"/>
        <w:outlineLvl w:val="1"/>
        <w:rPr>
          <w:rFonts w:ascii="仿宋_GB2312" w:eastAsia="仿宋_GB2312"/>
          <w:sz w:val="32"/>
        </w:rPr>
      </w:pPr>
      <w:bookmarkStart w:id="11" w:name="_Toc22804"/>
      <w:r>
        <w:rPr>
          <w:rFonts w:hint="eastAsia" w:ascii="仿宋_GB2312" w:eastAsia="仿宋_GB2312"/>
          <w:sz w:val="32"/>
        </w:rPr>
        <w:t>（三）与现行法律、法规、标准的关系</w:t>
      </w:r>
      <w:bookmarkEnd w:id="11"/>
    </w:p>
    <w:p w14:paraId="6BE7DA70">
      <w:pPr>
        <w:spacing w:line="560" w:lineRule="exact"/>
        <w:ind w:firstLine="640" w:firstLineChars="200"/>
        <w:rPr>
          <w:rFonts w:ascii="仿宋_GB2312" w:eastAsia="仿宋_GB2312"/>
          <w:sz w:val="32"/>
        </w:rPr>
      </w:pPr>
      <w:r>
        <w:rPr>
          <w:rFonts w:hint="eastAsia" w:ascii="仿宋_GB2312" w:eastAsia="仿宋_GB2312"/>
          <w:sz w:val="32"/>
        </w:rPr>
        <w:t>与现行国家标准、行业标准和地方标准没有冲突的地方。</w:t>
      </w:r>
    </w:p>
    <w:p w14:paraId="38B3E90F">
      <w:pPr>
        <w:pStyle w:val="2"/>
        <w:spacing w:before="0" w:after="0" w:line="560" w:lineRule="exact"/>
        <w:ind w:firstLine="643" w:firstLineChars="200"/>
        <w:rPr>
          <w:rFonts w:ascii="仿宋_GB2312" w:eastAsia="仿宋_GB2312"/>
          <w:sz w:val="32"/>
        </w:rPr>
      </w:pPr>
      <w:bookmarkStart w:id="12" w:name="_Toc27971"/>
      <w:r>
        <w:rPr>
          <w:rFonts w:hint="eastAsia" w:ascii="仿宋_GB2312" w:eastAsia="仿宋_GB2312"/>
          <w:sz w:val="32"/>
        </w:rPr>
        <w:t>五、主要条款的说明，主要技术指标、参数、实验验证的论述</w:t>
      </w:r>
      <w:bookmarkEnd w:id="12"/>
    </w:p>
    <w:p w14:paraId="6900AD5A">
      <w:pPr>
        <w:spacing w:line="560" w:lineRule="exact"/>
        <w:ind w:firstLine="640" w:firstLineChars="200"/>
        <w:rPr>
          <w:rFonts w:ascii="仿宋_GB2312" w:eastAsia="仿宋_GB2312"/>
          <w:sz w:val="32"/>
        </w:rPr>
      </w:pPr>
      <w:r>
        <w:rPr>
          <w:rFonts w:ascii="仿宋_GB2312" w:eastAsia="仿宋_GB2312"/>
          <w:sz w:val="32"/>
        </w:rPr>
        <w:t>本标准分为范围</w:t>
      </w:r>
      <w:r>
        <w:rPr>
          <w:rFonts w:hint="eastAsia" w:ascii="仿宋_GB2312" w:eastAsia="仿宋_GB2312"/>
          <w:sz w:val="32"/>
        </w:rPr>
        <w:t>、</w:t>
      </w:r>
      <w:r>
        <w:rPr>
          <w:rFonts w:ascii="仿宋_GB2312" w:eastAsia="仿宋_GB2312"/>
          <w:sz w:val="32"/>
        </w:rPr>
        <w:t>规范性引用文件</w:t>
      </w:r>
      <w:r>
        <w:rPr>
          <w:rFonts w:hint="eastAsia" w:ascii="仿宋_GB2312" w:eastAsia="仿宋_GB2312"/>
          <w:sz w:val="32"/>
        </w:rPr>
        <w:t>、</w:t>
      </w:r>
      <w:r>
        <w:rPr>
          <w:rFonts w:ascii="仿宋_GB2312" w:eastAsia="仿宋_GB2312"/>
          <w:sz w:val="32"/>
        </w:rPr>
        <w:t>术语和定义</w:t>
      </w:r>
      <w:r>
        <w:rPr>
          <w:rFonts w:hint="eastAsia" w:ascii="仿宋_GB2312" w:eastAsia="仿宋_GB2312"/>
          <w:sz w:val="32"/>
        </w:rPr>
        <w:t>、基本要求、能力要求、评定原则、评定组织、评定程序和评定文件管理九个部分。其中基本要求和能力要求是本标准的最重要部分。</w:t>
      </w:r>
    </w:p>
    <w:p w14:paraId="5A074BC8">
      <w:pPr>
        <w:spacing w:line="560" w:lineRule="exact"/>
        <w:ind w:firstLine="640" w:firstLineChars="200"/>
        <w:outlineLvl w:val="1"/>
        <w:rPr>
          <w:rFonts w:ascii="仿宋_GB2312" w:eastAsia="仿宋_GB2312"/>
          <w:sz w:val="32"/>
        </w:rPr>
      </w:pPr>
      <w:bookmarkStart w:id="13" w:name="_Toc24655"/>
      <w:r>
        <w:rPr>
          <w:rFonts w:hint="eastAsia" w:ascii="仿宋_GB2312" w:eastAsia="仿宋_GB2312"/>
          <w:sz w:val="32"/>
        </w:rPr>
        <w:t>（一）范围</w:t>
      </w:r>
      <w:bookmarkEnd w:id="13"/>
    </w:p>
    <w:p w14:paraId="64F31BAF">
      <w:pPr>
        <w:spacing w:line="560" w:lineRule="exact"/>
        <w:ind w:firstLine="640" w:firstLineChars="200"/>
        <w:rPr>
          <w:rFonts w:ascii="仿宋_GB2312" w:eastAsia="仿宋_GB2312"/>
          <w:sz w:val="32"/>
        </w:rPr>
      </w:pPr>
      <w:r>
        <w:rPr>
          <w:rFonts w:hint="eastAsia" w:ascii="仿宋_GB2312" w:eastAsia="仿宋_GB2312"/>
          <w:sz w:val="32"/>
        </w:rPr>
        <w:t>明确</w:t>
      </w:r>
      <w:r>
        <w:rPr>
          <w:rFonts w:ascii="仿宋_GB2312" w:eastAsia="仿宋_GB2312"/>
          <w:sz w:val="32"/>
        </w:rPr>
        <w:t>了本标准的</w:t>
      </w:r>
      <w:r>
        <w:rPr>
          <w:rFonts w:hint="eastAsia" w:ascii="仿宋_GB2312" w:eastAsia="仿宋_GB2312"/>
          <w:sz w:val="32"/>
        </w:rPr>
        <w:t>标准</w:t>
      </w:r>
      <w:r>
        <w:rPr>
          <w:rFonts w:ascii="仿宋_GB2312" w:eastAsia="仿宋_GB2312"/>
          <w:sz w:val="32"/>
        </w:rPr>
        <w:t>化内容</w:t>
      </w:r>
      <w:r>
        <w:rPr>
          <w:rFonts w:hint="eastAsia" w:ascii="仿宋_GB2312" w:eastAsia="仿宋_GB2312"/>
          <w:sz w:val="32"/>
        </w:rPr>
        <w:t>：数字服务外包领军企业、园区、人物的基本要求、能力要求、评定原则、评定组织、评定程序和评定文件管理等相关内容。</w:t>
      </w:r>
    </w:p>
    <w:p w14:paraId="5D79F538">
      <w:pPr>
        <w:spacing w:line="560" w:lineRule="exact"/>
        <w:ind w:firstLine="640" w:firstLineChars="200"/>
        <w:outlineLvl w:val="1"/>
        <w:rPr>
          <w:rFonts w:ascii="仿宋_GB2312" w:eastAsia="仿宋_GB2312"/>
          <w:sz w:val="32"/>
        </w:rPr>
      </w:pPr>
      <w:bookmarkStart w:id="14" w:name="_Toc22611"/>
      <w:r>
        <w:rPr>
          <w:rFonts w:hint="eastAsia" w:ascii="仿宋_GB2312" w:eastAsia="仿宋_GB2312"/>
          <w:sz w:val="32"/>
        </w:rPr>
        <w:t>（二）规范性引用文件</w:t>
      </w:r>
      <w:bookmarkEnd w:id="14"/>
    </w:p>
    <w:p w14:paraId="26A616E7">
      <w:pPr>
        <w:spacing w:line="560" w:lineRule="exact"/>
        <w:ind w:firstLine="640" w:firstLineChars="200"/>
        <w:rPr>
          <w:rFonts w:hint="eastAsia" w:ascii="仿宋_GB2312" w:eastAsia="仿宋_GB2312"/>
          <w:sz w:val="32"/>
        </w:rPr>
      </w:pPr>
      <w:r>
        <w:rPr>
          <w:rFonts w:hint="eastAsia" w:ascii="仿宋_GB2312" w:eastAsia="仿宋_GB2312"/>
          <w:sz w:val="32"/>
        </w:rPr>
        <w:t>GB/T 32150 工业企业温室气体排放核算和报告通则</w:t>
      </w:r>
    </w:p>
    <w:p w14:paraId="4075CBAF">
      <w:pPr>
        <w:spacing w:line="560" w:lineRule="exact"/>
        <w:ind w:firstLine="640" w:firstLineChars="200"/>
        <w:rPr>
          <w:rFonts w:hint="eastAsia" w:ascii="仿宋_GB2312" w:eastAsia="仿宋_GB2312"/>
          <w:sz w:val="32"/>
        </w:rPr>
      </w:pPr>
      <w:r>
        <w:rPr>
          <w:rFonts w:hint="eastAsia" w:ascii="仿宋_GB2312" w:eastAsia="仿宋_GB2312"/>
          <w:sz w:val="32"/>
        </w:rPr>
        <w:t>GB/T51161-2016 民用建筑能耗标准</w:t>
      </w:r>
    </w:p>
    <w:p w14:paraId="7D0EEBB7">
      <w:pPr>
        <w:spacing w:line="560" w:lineRule="exact"/>
        <w:ind w:firstLine="640" w:firstLineChars="200"/>
        <w:rPr>
          <w:rFonts w:hint="eastAsia" w:ascii="仿宋_GB2312" w:eastAsia="仿宋_GB2312"/>
          <w:sz w:val="32"/>
        </w:rPr>
      </w:pPr>
      <w:r>
        <w:rPr>
          <w:rFonts w:hint="eastAsia" w:ascii="仿宋_GB2312" w:eastAsia="仿宋_GB2312"/>
          <w:sz w:val="32"/>
        </w:rPr>
        <w:t>GB/T 51350-2019 近零能耗建筑技术标准</w:t>
      </w:r>
    </w:p>
    <w:p w14:paraId="296BC1A5">
      <w:pPr>
        <w:spacing w:line="560" w:lineRule="exact"/>
        <w:ind w:firstLine="640" w:firstLineChars="200"/>
        <w:rPr>
          <w:rFonts w:hint="eastAsia" w:ascii="仿宋_GB2312" w:eastAsia="仿宋_GB2312"/>
          <w:sz w:val="32"/>
        </w:rPr>
      </w:pPr>
      <w:r>
        <w:rPr>
          <w:rFonts w:hint="eastAsia" w:ascii="仿宋_GB2312" w:eastAsia="仿宋_GB2312"/>
          <w:sz w:val="32"/>
        </w:rPr>
        <w:t>GB 55015-2021 建筑节能与可再生能源利用通用规范</w:t>
      </w:r>
    </w:p>
    <w:p w14:paraId="65B7BC2B">
      <w:pPr>
        <w:spacing w:line="560" w:lineRule="exact"/>
        <w:ind w:firstLine="640" w:firstLineChars="200"/>
        <w:rPr>
          <w:rFonts w:hint="eastAsia" w:ascii="仿宋_GB2312" w:eastAsia="仿宋_GB2312"/>
          <w:sz w:val="32"/>
        </w:rPr>
      </w:pPr>
      <w:r>
        <w:rPr>
          <w:rFonts w:hint="eastAsia" w:ascii="仿宋_GB2312" w:eastAsia="仿宋_GB2312"/>
          <w:sz w:val="32"/>
        </w:rPr>
        <w:t xml:space="preserve">JGJ/T67-2019 办公建筑设计标准 </w:t>
      </w:r>
    </w:p>
    <w:p w14:paraId="15F2544D">
      <w:pPr>
        <w:spacing w:line="560" w:lineRule="exact"/>
        <w:ind w:firstLine="640" w:firstLineChars="200"/>
        <w:rPr>
          <w:rFonts w:hint="eastAsia" w:ascii="仿宋_GB2312" w:eastAsia="仿宋_GB2312"/>
          <w:sz w:val="32"/>
        </w:rPr>
      </w:pPr>
      <w:r>
        <w:rPr>
          <w:rFonts w:hint="eastAsia" w:ascii="仿宋_GB2312" w:eastAsia="仿宋_GB2312"/>
          <w:sz w:val="32"/>
        </w:rPr>
        <w:t xml:space="preserve">ISO IWA 42:2022 净零指南 (ISO IWA 421:2022 Net Zero Guidances) </w:t>
      </w:r>
    </w:p>
    <w:p w14:paraId="0C98C067">
      <w:pPr>
        <w:spacing w:line="560" w:lineRule="exact"/>
        <w:ind w:firstLine="640" w:firstLineChars="200"/>
        <w:rPr>
          <w:rFonts w:hint="eastAsia" w:ascii="仿宋_GB2312" w:eastAsia="仿宋_GB2312"/>
          <w:sz w:val="32"/>
        </w:rPr>
      </w:pPr>
      <w:r>
        <w:rPr>
          <w:rFonts w:hint="eastAsia" w:ascii="仿宋_GB2312" w:eastAsia="仿宋_GB2312"/>
          <w:sz w:val="32"/>
        </w:rPr>
        <w:t>ISO 14064-1 温室气体 第 1 部分：组织层面量化和报告温室气体排放和清除的规范和指导 (Greenhouse gases — Part 1: Specification with guidance at the organization level for quantification and reporting of greenhouse gas emissions and removals)</w:t>
      </w:r>
    </w:p>
    <w:p w14:paraId="5B19EC42">
      <w:pPr>
        <w:spacing w:line="560" w:lineRule="exact"/>
        <w:ind w:firstLine="640" w:firstLineChars="200"/>
        <w:rPr>
          <w:rFonts w:hint="eastAsia" w:ascii="仿宋_GB2312" w:eastAsia="仿宋_GB2312"/>
          <w:sz w:val="32"/>
        </w:rPr>
      </w:pPr>
      <w:r>
        <w:rPr>
          <w:rFonts w:hint="eastAsia" w:ascii="仿宋_GB2312" w:eastAsia="仿宋_GB2312"/>
          <w:sz w:val="32"/>
        </w:rPr>
        <w:t>ISO 14068-1 气候变化管理 向净零过渡 第1部分— 碳中和 (Climate change management — Transition to net zero — Part 1: Carbon neutrality)</w:t>
      </w:r>
    </w:p>
    <w:p w14:paraId="0C898CB3">
      <w:pPr>
        <w:spacing w:line="560" w:lineRule="exact"/>
        <w:ind w:firstLine="640" w:firstLineChars="200"/>
        <w:rPr>
          <w:rFonts w:hint="eastAsia" w:ascii="仿宋_GB2312" w:eastAsia="仿宋_GB2312"/>
          <w:sz w:val="32"/>
        </w:rPr>
      </w:pPr>
      <w:r>
        <w:rPr>
          <w:rFonts w:hint="eastAsia" w:ascii="仿宋_GB2312" w:eastAsia="仿宋_GB2312"/>
          <w:sz w:val="32"/>
        </w:rPr>
        <w:t>世界自然资源研究所（WRI）与世界企业永续发展委员会（WBSCD）温室气体核算体系 企业核算与报告标准(The Greenhouse Gas Protocol—A Corporate Accounting and Reporting Standard Revised Edition)</w:t>
      </w:r>
    </w:p>
    <w:p w14:paraId="269BD934">
      <w:pPr>
        <w:spacing w:line="560" w:lineRule="exact"/>
        <w:ind w:firstLine="640" w:firstLineChars="200"/>
        <w:rPr>
          <w:rFonts w:ascii="仿宋_GB2312" w:eastAsia="仿宋_GB2312"/>
          <w:sz w:val="32"/>
        </w:rPr>
      </w:pPr>
      <w:r>
        <w:rPr>
          <w:rFonts w:hint="eastAsia" w:ascii="仿宋_GB2312" w:eastAsia="仿宋_GB2312"/>
          <w:sz w:val="32"/>
        </w:rPr>
        <w:t>政府间气候变化专门委员会（IPCC）第六次评估报告第三工作组报告 气候变化2022：减缓气候变化 (IPCC Six Assessment Report-Working Group III (AR6 WGIII) Climate Change 2022: Mitigation of Climate Change)</w:t>
      </w:r>
    </w:p>
    <w:p w14:paraId="289EBDE3">
      <w:pPr>
        <w:spacing w:line="560" w:lineRule="exact"/>
        <w:ind w:firstLine="640" w:firstLineChars="200"/>
        <w:rPr>
          <w:rFonts w:ascii="仿宋_GB2312" w:eastAsia="仿宋_GB2312"/>
          <w:sz w:val="32"/>
        </w:rPr>
      </w:pPr>
    </w:p>
    <w:p w14:paraId="54CF66A8">
      <w:pPr>
        <w:spacing w:line="560" w:lineRule="exact"/>
        <w:ind w:firstLine="640" w:firstLineChars="200"/>
        <w:outlineLvl w:val="1"/>
        <w:rPr>
          <w:rFonts w:ascii="仿宋_GB2312" w:eastAsia="仿宋_GB2312"/>
          <w:sz w:val="32"/>
        </w:rPr>
      </w:pPr>
      <w:bookmarkStart w:id="15" w:name="_Toc7417"/>
      <w:r>
        <w:rPr>
          <w:rFonts w:hint="eastAsia" w:ascii="仿宋_GB2312" w:eastAsia="仿宋_GB2312"/>
          <w:sz w:val="32"/>
        </w:rPr>
        <w:t>（三）术语和定义</w:t>
      </w:r>
      <w:bookmarkEnd w:id="15"/>
    </w:p>
    <w:p w14:paraId="33A21A91">
      <w:pPr>
        <w:spacing w:line="560" w:lineRule="exact"/>
        <w:ind w:firstLine="640" w:firstLineChars="200"/>
        <w:rPr>
          <w:rFonts w:ascii="仿宋_GB2312" w:eastAsia="仿宋_GB2312"/>
          <w:sz w:val="32"/>
        </w:rPr>
      </w:pPr>
      <w:r>
        <w:rPr>
          <w:rFonts w:hint="eastAsia" w:ascii="仿宋_GB2312" w:eastAsia="仿宋_GB2312"/>
          <w:sz w:val="32"/>
        </w:rPr>
        <w:t>本文件重点对</w:t>
      </w:r>
      <w:r>
        <w:rPr>
          <w:rFonts w:hint="eastAsia" w:ascii="仿宋_GB2312" w:eastAsia="仿宋_GB2312"/>
          <w:sz w:val="32"/>
          <w:lang w:val="en-US" w:eastAsia="zh-CN"/>
        </w:rPr>
        <w:t>零碳建筑、零碳运营等</w:t>
      </w:r>
      <w:r>
        <w:rPr>
          <w:rFonts w:hint="eastAsia" w:ascii="仿宋_GB2312" w:eastAsia="仿宋_GB2312"/>
          <w:sz w:val="32"/>
        </w:rPr>
        <w:t>进行了定义。</w:t>
      </w:r>
    </w:p>
    <w:p w14:paraId="0C8FE8E8">
      <w:pPr>
        <w:numPr>
          <w:ilvl w:val="0"/>
          <w:numId w:val="1"/>
        </w:numPr>
        <w:spacing w:line="560" w:lineRule="exact"/>
        <w:ind w:firstLine="640" w:firstLineChars="200"/>
        <w:outlineLvl w:val="1"/>
        <w:rPr>
          <w:rFonts w:hint="eastAsia" w:ascii="仿宋_GB2312" w:eastAsia="仿宋_GB2312"/>
          <w:sz w:val="32"/>
        </w:rPr>
      </w:pPr>
      <w:bookmarkStart w:id="16" w:name="_Toc10341"/>
      <w:r>
        <w:rPr>
          <w:rFonts w:hint="default" w:ascii="仿宋_GB2312" w:eastAsia="仿宋_GB2312"/>
          <w:sz w:val="32"/>
          <w:szCs w:val="32"/>
          <w:lang w:val="en-US" w:eastAsia="zh-CN"/>
        </w:rPr>
        <w:t>商务楼宇净零运营与碳中和评价规范</w:t>
      </w:r>
      <w:r>
        <w:rPr>
          <w:rFonts w:hint="eastAsia" w:ascii="仿宋_GB2312" w:eastAsia="仿宋_GB2312"/>
          <w:sz w:val="32"/>
        </w:rPr>
        <w:t>内容</w:t>
      </w:r>
      <w:bookmarkEnd w:id="16"/>
    </w:p>
    <w:p w14:paraId="2D13E9B9">
      <w:pPr>
        <w:numPr>
          <w:numId w:val="0"/>
        </w:numPr>
        <w:spacing w:line="560" w:lineRule="exact"/>
        <w:ind w:firstLine="640" w:firstLineChars="200"/>
        <w:outlineLvl w:val="1"/>
        <w:rPr>
          <w:rFonts w:hint="eastAsia" w:ascii="仿宋_GB2312" w:hAnsi="Times New Roman" w:eastAsia="仿宋_GB2312" w:cs="Times New Roman"/>
          <w:b w:val="0"/>
          <w:bCs w:val="0"/>
          <w:kern w:val="2"/>
          <w:sz w:val="32"/>
          <w:szCs w:val="20"/>
          <w:lang w:val="en-US" w:eastAsia="zh-CN" w:bidi="ar-SA"/>
          <w14:ligatures w14:val="standardContextual"/>
        </w:rPr>
      </w:pPr>
      <w:bookmarkStart w:id="17" w:name="_Toc7098"/>
      <w:r>
        <w:rPr>
          <w:rFonts w:hint="eastAsia" w:ascii="仿宋_GB2312" w:eastAsia="仿宋_GB2312" w:cs="Times New Roman"/>
          <w:b w:val="0"/>
          <w:bCs w:val="0"/>
          <w:kern w:val="2"/>
          <w:sz w:val="32"/>
          <w:szCs w:val="20"/>
          <w:lang w:val="en-US" w:eastAsia="zh-CN" w:bidi="ar-SA"/>
          <w14:ligatures w14:val="standardContextual"/>
        </w:rPr>
        <w:t>本文</w:t>
      </w:r>
      <w:r>
        <w:rPr>
          <w:rFonts w:hint="eastAsia" w:ascii="仿宋_GB2312" w:hAnsi="Times New Roman" w:eastAsia="仿宋_GB2312" w:cs="Times New Roman"/>
          <w:b w:val="0"/>
          <w:bCs w:val="0"/>
          <w:kern w:val="2"/>
          <w:sz w:val="32"/>
          <w:szCs w:val="20"/>
          <w:lang w:val="en-US" w:eastAsia="zh-CN" w:bidi="ar-SA"/>
          <w14:ligatures w14:val="standardContextual"/>
        </w:rPr>
        <w:t>主要聚焦于商务楼宇在运营阶段的净零与碳中和评价。标准先明确适用范围，界定商务楼宇涵盖类型等。在评价指标方面，着重考量能源管理，要求采用节能设备，优化配电、照明等系统，提升能源利用效率。可再生能源利用上，鼓励楼宇利用光伏、地源热泵等技术，并参与绿色电力交易。在碳管理部分，规范碳排放核算边界与范围，给出达成碳中和的实施路径与碳抵消方式。评价流程涵盖申请、材料提交、评定及结果确定等步骤，评价等级依指标达成情况分设，为商务楼宇低碳转型提供精准且全面的指引 。</w:t>
      </w:r>
      <w:bookmarkEnd w:id="17"/>
    </w:p>
    <w:p w14:paraId="50F6865B">
      <w:pPr>
        <w:numPr>
          <w:numId w:val="0"/>
        </w:numPr>
        <w:spacing w:line="560" w:lineRule="exact"/>
        <w:ind w:firstLine="640" w:firstLineChars="200"/>
        <w:outlineLvl w:val="1"/>
        <w:rPr>
          <w:rFonts w:ascii="仿宋_GB2312" w:eastAsia="仿宋_GB2312"/>
          <w:sz w:val="32"/>
        </w:rPr>
      </w:pPr>
      <w:bookmarkStart w:id="18" w:name="_Toc23517"/>
      <w:r>
        <w:rPr>
          <w:rFonts w:hint="eastAsia" w:ascii="仿宋_GB2312" w:eastAsia="仿宋_GB2312"/>
          <w:sz w:val="32"/>
        </w:rPr>
        <w:t>六、重大意见分歧的处理依据和结果</w:t>
      </w:r>
      <w:bookmarkEnd w:id="18"/>
    </w:p>
    <w:p w14:paraId="1C8D3E75">
      <w:pPr>
        <w:spacing w:line="560" w:lineRule="exact"/>
        <w:ind w:firstLine="640" w:firstLineChars="200"/>
        <w:rPr>
          <w:rFonts w:ascii="仿宋_GB2312" w:eastAsia="仿宋_GB2312"/>
          <w:sz w:val="32"/>
        </w:rPr>
      </w:pPr>
      <w:r>
        <w:rPr>
          <w:rFonts w:hint="eastAsia" w:ascii="仿宋_GB2312" w:eastAsia="仿宋_GB2312"/>
          <w:sz w:val="32"/>
        </w:rPr>
        <w:t>无</w:t>
      </w:r>
    </w:p>
    <w:p w14:paraId="71A1C978">
      <w:pPr>
        <w:pStyle w:val="2"/>
        <w:spacing w:before="0" w:after="0" w:line="560" w:lineRule="exact"/>
        <w:ind w:firstLine="643" w:firstLineChars="200"/>
        <w:rPr>
          <w:rFonts w:ascii="仿宋_GB2312" w:eastAsia="仿宋_GB2312"/>
          <w:sz w:val="32"/>
        </w:rPr>
      </w:pPr>
      <w:bookmarkStart w:id="19" w:name="_Toc31807"/>
      <w:r>
        <w:rPr>
          <w:rFonts w:hint="eastAsia" w:ascii="仿宋_GB2312" w:eastAsia="仿宋_GB2312"/>
          <w:sz w:val="32"/>
        </w:rPr>
        <w:t>七、采用国际标准和国外先进标准的，说明采标程度，以及与国内外同类标准水平的对比情况</w:t>
      </w:r>
      <w:bookmarkEnd w:id="19"/>
    </w:p>
    <w:p w14:paraId="66BAFEEC">
      <w:pPr>
        <w:spacing w:line="560" w:lineRule="exact"/>
        <w:ind w:firstLine="640" w:firstLineChars="200"/>
        <w:rPr>
          <w:rFonts w:ascii="仿宋_GB2312" w:eastAsia="仿宋_GB2312"/>
          <w:sz w:val="32"/>
        </w:rPr>
      </w:pPr>
      <w:r>
        <w:rPr>
          <w:rFonts w:hint="eastAsia" w:ascii="仿宋_GB2312" w:eastAsia="仿宋_GB2312"/>
          <w:sz w:val="32"/>
        </w:rPr>
        <w:t>无</w:t>
      </w:r>
    </w:p>
    <w:p w14:paraId="2ED2872A">
      <w:pPr>
        <w:pStyle w:val="2"/>
        <w:spacing w:before="0" w:after="0" w:line="560" w:lineRule="exact"/>
        <w:ind w:firstLine="643" w:firstLineChars="200"/>
        <w:rPr>
          <w:rFonts w:ascii="仿宋_GB2312" w:eastAsia="仿宋_GB2312"/>
          <w:sz w:val="32"/>
        </w:rPr>
      </w:pPr>
      <w:bookmarkStart w:id="20" w:name="_Toc11051"/>
      <w:r>
        <w:rPr>
          <w:rFonts w:hint="eastAsia" w:ascii="仿宋_GB2312" w:eastAsia="仿宋_GB2312"/>
          <w:sz w:val="32"/>
        </w:rPr>
        <w:t>八、作为推荐性标准或者强制性标准的建议及其理由</w:t>
      </w:r>
      <w:bookmarkEnd w:id="20"/>
    </w:p>
    <w:p w14:paraId="5D983185">
      <w:pPr>
        <w:spacing w:line="560" w:lineRule="exact"/>
        <w:ind w:firstLine="640" w:firstLineChars="200"/>
        <w:rPr>
          <w:rFonts w:ascii="仿宋_GB2312" w:eastAsia="仿宋_GB2312"/>
          <w:sz w:val="32"/>
          <w:szCs w:val="21"/>
        </w:rPr>
      </w:pPr>
      <w:r>
        <w:rPr>
          <w:rFonts w:hint="eastAsia" w:ascii="仿宋_GB2312" w:eastAsia="仿宋_GB2312"/>
          <w:sz w:val="32"/>
          <w:szCs w:val="21"/>
        </w:rPr>
        <w:t>本标准为推荐性标准，供各单位根据实际情况使用。</w:t>
      </w:r>
    </w:p>
    <w:p w14:paraId="32B09E4C">
      <w:pPr>
        <w:pStyle w:val="2"/>
        <w:spacing w:before="0" w:after="0" w:line="560" w:lineRule="exact"/>
        <w:ind w:firstLine="643" w:firstLineChars="200"/>
        <w:rPr>
          <w:rFonts w:ascii="仿宋_GB2312" w:eastAsia="仿宋_GB2312"/>
          <w:sz w:val="32"/>
        </w:rPr>
      </w:pPr>
      <w:bookmarkStart w:id="21" w:name="_Toc5856"/>
      <w:r>
        <w:rPr>
          <w:rFonts w:hint="eastAsia" w:ascii="仿宋_GB2312" w:eastAsia="仿宋_GB2312"/>
          <w:sz w:val="32"/>
        </w:rPr>
        <w:t>九、贯彻标准的措施建议</w:t>
      </w:r>
      <w:bookmarkEnd w:id="21"/>
    </w:p>
    <w:p w14:paraId="3CB5A16D">
      <w:pPr>
        <w:spacing w:line="560" w:lineRule="exact"/>
        <w:ind w:firstLine="640" w:firstLineChars="200"/>
        <w:rPr>
          <w:rFonts w:ascii="仿宋_GB2312" w:eastAsia="仿宋_GB2312"/>
          <w:sz w:val="32"/>
          <w:szCs w:val="21"/>
        </w:rPr>
      </w:pPr>
      <w:r>
        <w:rPr>
          <w:rFonts w:hint="eastAsia" w:ascii="仿宋_GB2312" w:eastAsia="仿宋_GB2312"/>
          <w:sz w:val="32"/>
          <w:szCs w:val="21"/>
        </w:rPr>
        <w:t>本标准</w:t>
      </w:r>
      <w:r>
        <w:rPr>
          <w:rFonts w:hint="eastAsia" w:ascii="仿宋_GB2312" w:eastAsia="仿宋_GB2312"/>
          <w:sz w:val="32"/>
          <w:szCs w:val="21"/>
          <w:lang w:val="en-US" w:eastAsia="zh-CN"/>
        </w:rPr>
        <w:t>零碳楼宇运营与评价</w:t>
      </w:r>
      <w:r>
        <w:rPr>
          <w:rFonts w:hint="eastAsia" w:ascii="仿宋_GB2312" w:eastAsia="仿宋_GB2312"/>
          <w:sz w:val="32"/>
          <w:szCs w:val="21"/>
        </w:rPr>
        <w:t>规范，因此建议本标准在贯彻过程中应由中国国际投资促进会依据标准对</w:t>
      </w:r>
      <w:r>
        <w:rPr>
          <w:rFonts w:hint="eastAsia" w:ascii="仿宋_GB2312" w:eastAsia="仿宋_GB2312"/>
          <w:sz w:val="32"/>
          <w:szCs w:val="21"/>
          <w:lang w:val="en-US" w:eastAsia="zh-CN"/>
        </w:rPr>
        <w:t>楼宇</w:t>
      </w:r>
      <w:r>
        <w:rPr>
          <w:rFonts w:hint="eastAsia" w:ascii="仿宋_GB2312" w:eastAsia="仿宋_GB2312"/>
          <w:sz w:val="32"/>
          <w:szCs w:val="21"/>
        </w:rPr>
        <w:t>进行相应指导，以便于各单位贯彻执行。</w:t>
      </w:r>
    </w:p>
    <w:p w14:paraId="1EFEA7F1">
      <w:pPr>
        <w:pStyle w:val="2"/>
        <w:spacing w:before="0" w:after="0" w:line="560" w:lineRule="exact"/>
        <w:ind w:firstLine="643" w:firstLineChars="200"/>
        <w:rPr>
          <w:rFonts w:ascii="仿宋_GB2312" w:eastAsia="仿宋_GB2312"/>
          <w:sz w:val="32"/>
        </w:rPr>
      </w:pPr>
      <w:bookmarkStart w:id="22" w:name="_Toc12359"/>
      <w:r>
        <w:rPr>
          <w:rFonts w:hint="eastAsia" w:ascii="仿宋_GB2312" w:eastAsia="仿宋_GB2312"/>
          <w:sz w:val="32"/>
        </w:rPr>
        <w:t>十、其他应说明的事项</w:t>
      </w:r>
      <w:bookmarkEnd w:id="22"/>
    </w:p>
    <w:p w14:paraId="2A7D9E1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bookmarkEnd w:id="0"/>
      <w:bookmarkEnd w:id="2"/>
    </w:p>
    <w:p w14:paraId="7A0B0903"/>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中宋简">
    <w:altName w:val="黑体"/>
    <w:panose1 w:val="00000000000000000000"/>
    <w:charset w:val="86"/>
    <w:family w:val="modern"/>
    <w:pitch w:val="default"/>
    <w:sig w:usb0="00000000" w:usb1="00000000" w:usb2="00000012" w:usb3="00000000" w:csb0="00040000"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方正仿宋_GB2312">
    <w:altName w:val="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401584"/>
      <w:docPartObj>
        <w:docPartGallery w:val="AutoText"/>
      </w:docPartObj>
    </w:sdtPr>
    <w:sdtContent>
      <w:p w14:paraId="7CCF745D">
        <w:pPr>
          <w:pStyle w:val="4"/>
          <w:jc w:val="center"/>
        </w:pPr>
        <w:r>
          <w:fldChar w:fldCharType="begin"/>
        </w:r>
        <w:r>
          <w:instrText xml:space="preserve">PAGE   \* MERGEFORMAT</w:instrText>
        </w:r>
        <w:r>
          <w:fldChar w:fldCharType="separate"/>
        </w:r>
        <w:r>
          <w:rPr>
            <w:lang w:val="zh-CN"/>
          </w:rPr>
          <w:t>2</w:t>
        </w:r>
        <w:r>
          <w:fldChar w:fldCharType="end"/>
        </w:r>
      </w:p>
    </w:sdtContent>
  </w:sdt>
  <w:p w14:paraId="785834E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0223303"/>
      <w:docPartObj>
        <w:docPartGallery w:val="AutoText"/>
      </w:docPartObj>
    </w:sdtPr>
    <w:sdtContent>
      <w:p w14:paraId="061FBEB1">
        <w:pPr>
          <w:pStyle w:val="4"/>
          <w:spacing w:before="240" w:after="240"/>
        </w:pPr>
        <w:r>
          <w:fldChar w:fldCharType="begin"/>
        </w:r>
        <w:r>
          <w:instrText xml:space="preserve">PAGE   \* MERGEFORMAT</w:instrText>
        </w:r>
        <w:r>
          <w:fldChar w:fldCharType="separate"/>
        </w:r>
        <w:r>
          <w:rPr>
            <w:lang w:val="zh-CN"/>
          </w:rPr>
          <w:t>8</w:t>
        </w:r>
        <w:r>
          <w:fldChar w:fldCharType="end"/>
        </w:r>
      </w:p>
    </w:sdtContent>
  </w:sdt>
  <w:p w14:paraId="0AE33CC8">
    <w:pPr>
      <w:pStyle w:val="4"/>
      <w:wordWrap w:val="0"/>
      <w:ind w:right="18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A9B5C"/>
    <w:multiLevelType w:val="singleLevel"/>
    <w:tmpl w:val="8AAA9B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BA"/>
    <w:rsid w:val="000020D8"/>
    <w:rsid w:val="00003C56"/>
    <w:rsid w:val="0001357E"/>
    <w:rsid w:val="00014D96"/>
    <w:rsid w:val="00022602"/>
    <w:rsid w:val="000246AF"/>
    <w:rsid w:val="000249CB"/>
    <w:rsid w:val="00026070"/>
    <w:rsid w:val="00030EB7"/>
    <w:rsid w:val="000311CA"/>
    <w:rsid w:val="00042BCA"/>
    <w:rsid w:val="00044338"/>
    <w:rsid w:val="000457DB"/>
    <w:rsid w:val="00062578"/>
    <w:rsid w:val="00062895"/>
    <w:rsid w:val="00065DD1"/>
    <w:rsid w:val="00065F35"/>
    <w:rsid w:val="00074E97"/>
    <w:rsid w:val="000803E5"/>
    <w:rsid w:val="000853CD"/>
    <w:rsid w:val="0008563D"/>
    <w:rsid w:val="00085652"/>
    <w:rsid w:val="00087802"/>
    <w:rsid w:val="00093CDE"/>
    <w:rsid w:val="00094790"/>
    <w:rsid w:val="00095F82"/>
    <w:rsid w:val="000A6C8B"/>
    <w:rsid w:val="000B15A2"/>
    <w:rsid w:val="000B2076"/>
    <w:rsid w:val="000B3067"/>
    <w:rsid w:val="000B4395"/>
    <w:rsid w:val="000C2EE3"/>
    <w:rsid w:val="000C3F26"/>
    <w:rsid w:val="000E5DD9"/>
    <w:rsid w:val="000F18E6"/>
    <w:rsid w:val="000F1B8B"/>
    <w:rsid w:val="000F3A61"/>
    <w:rsid w:val="000F3E88"/>
    <w:rsid w:val="000F50F3"/>
    <w:rsid w:val="000F5FC7"/>
    <w:rsid w:val="001039D8"/>
    <w:rsid w:val="00103E8C"/>
    <w:rsid w:val="00111602"/>
    <w:rsid w:val="00111766"/>
    <w:rsid w:val="00112FF1"/>
    <w:rsid w:val="001163D8"/>
    <w:rsid w:val="00122301"/>
    <w:rsid w:val="0012292A"/>
    <w:rsid w:val="00123CB9"/>
    <w:rsid w:val="00124968"/>
    <w:rsid w:val="001314C5"/>
    <w:rsid w:val="001345A8"/>
    <w:rsid w:val="00134CFC"/>
    <w:rsid w:val="00135625"/>
    <w:rsid w:val="00137385"/>
    <w:rsid w:val="00141FB7"/>
    <w:rsid w:val="00144637"/>
    <w:rsid w:val="00150151"/>
    <w:rsid w:val="00154896"/>
    <w:rsid w:val="001561A8"/>
    <w:rsid w:val="0016020D"/>
    <w:rsid w:val="00164EBA"/>
    <w:rsid w:val="0017155B"/>
    <w:rsid w:val="001737A9"/>
    <w:rsid w:val="001775FE"/>
    <w:rsid w:val="001807F2"/>
    <w:rsid w:val="00184ADD"/>
    <w:rsid w:val="00187A08"/>
    <w:rsid w:val="00190DE5"/>
    <w:rsid w:val="0019398B"/>
    <w:rsid w:val="00194B4A"/>
    <w:rsid w:val="00194F3A"/>
    <w:rsid w:val="00195E45"/>
    <w:rsid w:val="00196495"/>
    <w:rsid w:val="001A0443"/>
    <w:rsid w:val="001A1095"/>
    <w:rsid w:val="001A40DF"/>
    <w:rsid w:val="001B172D"/>
    <w:rsid w:val="001B2026"/>
    <w:rsid w:val="001B75DA"/>
    <w:rsid w:val="001C2DBD"/>
    <w:rsid w:val="001C3B41"/>
    <w:rsid w:val="001C4030"/>
    <w:rsid w:val="001C4247"/>
    <w:rsid w:val="001D0062"/>
    <w:rsid w:val="001D1BC0"/>
    <w:rsid w:val="001D2E20"/>
    <w:rsid w:val="001D739A"/>
    <w:rsid w:val="001E0107"/>
    <w:rsid w:val="001E33DC"/>
    <w:rsid w:val="001E3BFE"/>
    <w:rsid w:val="001E5AFA"/>
    <w:rsid w:val="001F4FA5"/>
    <w:rsid w:val="00200FAA"/>
    <w:rsid w:val="002046D8"/>
    <w:rsid w:val="00207003"/>
    <w:rsid w:val="00207075"/>
    <w:rsid w:val="002070C5"/>
    <w:rsid w:val="00207E0C"/>
    <w:rsid w:val="0021039B"/>
    <w:rsid w:val="002170E5"/>
    <w:rsid w:val="002209B0"/>
    <w:rsid w:val="00221451"/>
    <w:rsid w:val="00222054"/>
    <w:rsid w:val="00225C8F"/>
    <w:rsid w:val="0023109A"/>
    <w:rsid w:val="00233A4A"/>
    <w:rsid w:val="00234DCD"/>
    <w:rsid w:val="002354F2"/>
    <w:rsid w:val="00244988"/>
    <w:rsid w:val="002502A0"/>
    <w:rsid w:val="00250C77"/>
    <w:rsid w:val="00252ABE"/>
    <w:rsid w:val="00253255"/>
    <w:rsid w:val="002572E9"/>
    <w:rsid w:val="00257F46"/>
    <w:rsid w:val="00261852"/>
    <w:rsid w:val="00262AC0"/>
    <w:rsid w:val="00281D9F"/>
    <w:rsid w:val="00282726"/>
    <w:rsid w:val="0028311A"/>
    <w:rsid w:val="00284DF3"/>
    <w:rsid w:val="00285FB3"/>
    <w:rsid w:val="00286DC2"/>
    <w:rsid w:val="00290F4A"/>
    <w:rsid w:val="00294E6C"/>
    <w:rsid w:val="002A0E25"/>
    <w:rsid w:val="002A573A"/>
    <w:rsid w:val="002B05A4"/>
    <w:rsid w:val="002C0469"/>
    <w:rsid w:val="002C3687"/>
    <w:rsid w:val="002C5991"/>
    <w:rsid w:val="002D0BE7"/>
    <w:rsid w:val="002D32EB"/>
    <w:rsid w:val="002D471F"/>
    <w:rsid w:val="002E104C"/>
    <w:rsid w:val="002E1A04"/>
    <w:rsid w:val="002E6212"/>
    <w:rsid w:val="002F2661"/>
    <w:rsid w:val="002F2735"/>
    <w:rsid w:val="00302B97"/>
    <w:rsid w:val="003036AE"/>
    <w:rsid w:val="00306F34"/>
    <w:rsid w:val="00307437"/>
    <w:rsid w:val="003076B5"/>
    <w:rsid w:val="00324116"/>
    <w:rsid w:val="003306C0"/>
    <w:rsid w:val="003419BA"/>
    <w:rsid w:val="003522F1"/>
    <w:rsid w:val="003523C3"/>
    <w:rsid w:val="00355986"/>
    <w:rsid w:val="00362633"/>
    <w:rsid w:val="00374C68"/>
    <w:rsid w:val="00376893"/>
    <w:rsid w:val="00390D34"/>
    <w:rsid w:val="003925C8"/>
    <w:rsid w:val="00393BF2"/>
    <w:rsid w:val="0039439D"/>
    <w:rsid w:val="00395C02"/>
    <w:rsid w:val="003A3B71"/>
    <w:rsid w:val="003B2321"/>
    <w:rsid w:val="003B3065"/>
    <w:rsid w:val="003B34D2"/>
    <w:rsid w:val="003B35E4"/>
    <w:rsid w:val="003B375B"/>
    <w:rsid w:val="003B44AE"/>
    <w:rsid w:val="003B491B"/>
    <w:rsid w:val="003B5728"/>
    <w:rsid w:val="003C57F4"/>
    <w:rsid w:val="003C6170"/>
    <w:rsid w:val="003D341E"/>
    <w:rsid w:val="003D5E10"/>
    <w:rsid w:val="003E144F"/>
    <w:rsid w:val="003E2AAB"/>
    <w:rsid w:val="003E6E65"/>
    <w:rsid w:val="003E6E8D"/>
    <w:rsid w:val="003E7B94"/>
    <w:rsid w:val="003E7F83"/>
    <w:rsid w:val="003F6B07"/>
    <w:rsid w:val="003F6B7C"/>
    <w:rsid w:val="004018E2"/>
    <w:rsid w:val="0040268F"/>
    <w:rsid w:val="00405707"/>
    <w:rsid w:val="00410EB9"/>
    <w:rsid w:val="00427737"/>
    <w:rsid w:val="004301A2"/>
    <w:rsid w:val="00430F70"/>
    <w:rsid w:val="00434C25"/>
    <w:rsid w:val="00436A1F"/>
    <w:rsid w:val="004412A8"/>
    <w:rsid w:val="00442C7C"/>
    <w:rsid w:val="00447730"/>
    <w:rsid w:val="0045181D"/>
    <w:rsid w:val="00454FAA"/>
    <w:rsid w:val="004570FD"/>
    <w:rsid w:val="004612BE"/>
    <w:rsid w:val="0046271E"/>
    <w:rsid w:val="00472328"/>
    <w:rsid w:val="004728A4"/>
    <w:rsid w:val="0047347C"/>
    <w:rsid w:val="00474A0A"/>
    <w:rsid w:val="0047622E"/>
    <w:rsid w:val="004801EB"/>
    <w:rsid w:val="004845A4"/>
    <w:rsid w:val="00490E4E"/>
    <w:rsid w:val="004914C0"/>
    <w:rsid w:val="00491975"/>
    <w:rsid w:val="00493A93"/>
    <w:rsid w:val="00496307"/>
    <w:rsid w:val="00496DD6"/>
    <w:rsid w:val="004A506A"/>
    <w:rsid w:val="004A6968"/>
    <w:rsid w:val="004A738D"/>
    <w:rsid w:val="004B40EC"/>
    <w:rsid w:val="004B5E01"/>
    <w:rsid w:val="004B6907"/>
    <w:rsid w:val="004C1572"/>
    <w:rsid w:val="004D2281"/>
    <w:rsid w:val="004D280C"/>
    <w:rsid w:val="004D3465"/>
    <w:rsid w:val="004D423E"/>
    <w:rsid w:val="004D7BE3"/>
    <w:rsid w:val="004E1127"/>
    <w:rsid w:val="004E7184"/>
    <w:rsid w:val="004F640F"/>
    <w:rsid w:val="004F7696"/>
    <w:rsid w:val="00502032"/>
    <w:rsid w:val="005127C3"/>
    <w:rsid w:val="00515389"/>
    <w:rsid w:val="00517D71"/>
    <w:rsid w:val="00520399"/>
    <w:rsid w:val="00521EBF"/>
    <w:rsid w:val="00523AE0"/>
    <w:rsid w:val="005314F7"/>
    <w:rsid w:val="00536360"/>
    <w:rsid w:val="00553803"/>
    <w:rsid w:val="005545F9"/>
    <w:rsid w:val="0055490A"/>
    <w:rsid w:val="00556482"/>
    <w:rsid w:val="0056214B"/>
    <w:rsid w:val="005642CC"/>
    <w:rsid w:val="00572423"/>
    <w:rsid w:val="00575A5F"/>
    <w:rsid w:val="0058055F"/>
    <w:rsid w:val="00586968"/>
    <w:rsid w:val="00586E3E"/>
    <w:rsid w:val="005906A1"/>
    <w:rsid w:val="005A09BE"/>
    <w:rsid w:val="005C0C10"/>
    <w:rsid w:val="005C29D7"/>
    <w:rsid w:val="005D3078"/>
    <w:rsid w:val="005E0A33"/>
    <w:rsid w:val="005E749A"/>
    <w:rsid w:val="005E7EA8"/>
    <w:rsid w:val="005F1C9D"/>
    <w:rsid w:val="005F3A40"/>
    <w:rsid w:val="005F50B6"/>
    <w:rsid w:val="005F52AB"/>
    <w:rsid w:val="00601B0E"/>
    <w:rsid w:val="006030DA"/>
    <w:rsid w:val="00605A98"/>
    <w:rsid w:val="00610544"/>
    <w:rsid w:val="00615B31"/>
    <w:rsid w:val="00623C02"/>
    <w:rsid w:val="00623E7B"/>
    <w:rsid w:val="006334DF"/>
    <w:rsid w:val="00634175"/>
    <w:rsid w:val="00634FA9"/>
    <w:rsid w:val="006350A8"/>
    <w:rsid w:val="00635E9E"/>
    <w:rsid w:val="00650348"/>
    <w:rsid w:val="00651687"/>
    <w:rsid w:val="00651CBA"/>
    <w:rsid w:val="00656F98"/>
    <w:rsid w:val="00657C08"/>
    <w:rsid w:val="00660C7E"/>
    <w:rsid w:val="00662034"/>
    <w:rsid w:val="0066451F"/>
    <w:rsid w:val="00665379"/>
    <w:rsid w:val="00665B10"/>
    <w:rsid w:val="00670618"/>
    <w:rsid w:val="0067448F"/>
    <w:rsid w:val="0067523E"/>
    <w:rsid w:val="006866EB"/>
    <w:rsid w:val="00692339"/>
    <w:rsid w:val="006940DF"/>
    <w:rsid w:val="006A0432"/>
    <w:rsid w:val="006A095C"/>
    <w:rsid w:val="006A2669"/>
    <w:rsid w:val="006A4DD4"/>
    <w:rsid w:val="006A7A89"/>
    <w:rsid w:val="006A7FD3"/>
    <w:rsid w:val="006B49E6"/>
    <w:rsid w:val="006B5A4A"/>
    <w:rsid w:val="006B6914"/>
    <w:rsid w:val="006B70B3"/>
    <w:rsid w:val="006C3A77"/>
    <w:rsid w:val="006C5348"/>
    <w:rsid w:val="006D04BE"/>
    <w:rsid w:val="006D369D"/>
    <w:rsid w:val="006D3D7C"/>
    <w:rsid w:val="006D5C92"/>
    <w:rsid w:val="006E26D5"/>
    <w:rsid w:val="006F12AF"/>
    <w:rsid w:val="006F1565"/>
    <w:rsid w:val="006F6C4B"/>
    <w:rsid w:val="006F6F66"/>
    <w:rsid w:val="00701633"/>
    <w:rsid w:val="007023AA"/>
    <w:rsid w:val="00704017"/>
    <w:rsid w:val="007066FA"/>
    <w:rsid w:val="00707D60"/>
    <w:rsid w:val="00716879"/>
    <w:rsid w:val="00716951"/>
    <w:rsid w:val="007254F0"/>
    <w:rsid w:val="00727B3F"/>
    <w:rsid w:val="00734757"/>
    <w:rsid w:val="00735310"/>
    <w:rsid w:val="00735479"/>
    <w:rsid w:val="007418AC"/>
    <w:rsid w:val="0074542E"/>
    <w:rsid w:val="00746847"/>
    <w:rsid w:val="00747F2A"/>
    <w:rsid w:val="007561C5"/>
    <w:rsid w:val="00761E9E"/>
    <w:rsid w:val="00765118"/>
    <w:rsid w:val="007662EA"/>
    <w:rsid w:val="00774169"/>
    <w:rsid w:val="00775207"/>
    <w:rsid w:val="007802B0"/>
    <w:rsid w:val="00780518"/>
    <w:rsid w:val="00782B73"/>
    <w:rsid w:val="00796276"/>
    <w:rsid w:val="00796E50"/>
    <w:rsid w:val="007A05EB"/>
    <w:rsid w:val="007A2154"/>
    <w:rsid w:val="007A22C3"/>
    <w:rsid w:val="007A5DB0"/>
    <w:rsid w:val="007A6916"/>
    <w:rsid w:val="007A6E6A"/>
    <w:rsid w:val="007B020E"/>
    <w:rsid w:val="007B119A"/>
    <w:rsid w:val="007B2E76"/>
    <w:rsid w:val="007C366A"/>
    <w:rsid w:val="007C7686"/>
    <w:rsid w:val="007D2C3E"/>
    <w:rsid w:val="007D6C7B"/>
    <w:rsid w:val="007E00A9"/>
    <w:rsid w:val="007E0EF5"/>
    <w:rsid w:val="007E5672"/>
    <w:rsid w:val="007E7518"/>
    <w:rsid w:val="007F0B57"/>
    <w:rsid w:val="007F4767"/>
    <w:rsid w:val="007F52EE"/>
    <w:rsid w:val="00803A30"/>
    <w:rsid w:val="00810454"/>
    <w:rsid w:val="00811067"/>
    <w:rsid w:val="00812B8D"/>
    <w:rsid w:val="00814319"/>
    <w:rsid w:val="00815177"/>
    <w:rsid w:val="008176B1"/>
    <w:rsid w:val="00821108"/>
    <w:rsid w:val="00824C34"/>
    <w:rsid w:val="008305AB"/>
    <w:rsid w:val="0083367B"/>
    <w:rsid w:val="00833B19"/>
    <w:rsid w:val="008449A5"/>
    <w:rsid w:val="00847DD1"/>
    <w:rsid w:val="008625FF"/>
    <w:rsid w:val="00862EFB"/>
    <w:rsid w:val="00863F95"/>
    <w:rsid w:val="00865123"/>
    <w:rsid w:val="0087003A"/>
    <w:rsid w:val="008709F3"/>
    <w:rsid w:val="00877E3A"/>
    <w:rsid w:val="0088125E"/>
    <w:rsid w:val="00892043"/>
    <w:rsid w:val="0089738A"/>
    <w:rsid w:val="008A5D78"/>
    <w:rsid w:val="008A5E83"/>
    <w:rsid w:val="008B0F56"/>
    <w:rsid w:val="008B1CE2"/>
    <w:rsid w:val="008B3FE7"/>
    <w:rsid w:val="008C07F8"/>
    <w:rsid w:val="008C16BE"/>
    <w:rsid w:val="008C3A7C"/>
    <w:rsid w:val="008C3B55"/>
    <w:rsid w:val="008D72E5"/>
    <w:rsid w:val="008D75F6"/>
    <w:rsid w:val="008D7761"/>
    <w:rsid w:val="008E3166"/>
    <w:rsid w:val="008E3F42"/>
    <w:rsid w:val="008E5C17"/>
    <w:rsid w:val="008F0A77"/>
    <w:rsid w:val="008F1353"/>
    <w:rsid w:val="008F18C4"/>
    <w:rsid w:val="008F23E9"/>
    <w:rsid w:val="008F4D8C"/>
    <w:rsid w:val="008F5888"/>
    <w:rsid w:val="008F6661"/>
    <w:rsid w:val="008F6ABC"/>
    <w:rsid w:val="00900408"/>
    <w:rsid w:val="0090083D"/>
    <w:rsid w:val="00900BCE"/>
    <w:rsid w:val="00906D72"/>
    <w:rsid w:val="00923F6F"/>
    <w:rsid w:val="00924B15"/>
    <w:rsid w:val="00932625"/>
    <w:rsid w:val="00932FEB"/>
    <w:rsid w:val="00934041"/>
    <w:rsid w:val="00944BAA"/>
    <w:rsid w:val="0095413D"/>
    <w:rsid w:val="0095449D"/>
    <w:rsid w:val="00956B7F"/>
    <w:rsid w:val="00965030"/>
    <w:rsid w:val="00966801"/>
    <w:rsid w:val="0097545F"/>
    <w:rsid w:val="00977018"/>
    <w:rsid w:val="0098415F"/>
    <w:rsid w:val="00996585"/>
    <w:rsid w:val="00996C61"/>
    <w:rsid w:val="009970DC"/>
    <w:rsid w:val="009977B8"/>
    <w:rsid w:val="009A2549"/>
    <w:rsid w:val="009A3DBE"/>
    <w:rsid w:val="009A75EE"/>
    <w:rsid w:val="009B12C6"/>
    <w:rsid w:val="009B4175"/>
    <w:rsid w:val="009B6A12"/>
    <w:rsid w:val="009C075F"/>
    <w:rsid w:val="009C155E"/>
    <w:rsid w:val="009C2026"/>
    <w:rsid w:val="009C35C5"/>
    <w:rsid w:val="009C7203"/>
    <w:rsid w:val="009C7640"/>
    <w:rsid w:val="009D249A"/>
    <w:rsid w:val="009D309A"/>
    <w:rsid w:val="009D51F5"/>
    <w:rsid w:val="009E35B9"/>
    <w:rsid w:val="009E708F"/>
    <w:rsid w:val="009E732E"/>
    <w:rsid w:val="009F0A48"/>
    <w:rsid w:val="009F19B1"/>
    <w:rsid w:val="009F4545"/>
    <w:rsid w:val="009F4AB1"/>
    <w:rsid w:val="009F76C5"/>
    <w:rsid w:val="00A02B8B"/>
    <w:rsid w:val="00A03618"/>
    <w:rsid w:val="00A040FF"/>
    <w:rsid w:val="00A04475"/>
    <w:rsid w:val="00A060A0"/>
    <w:rsid w:val="00A06713"/>
    <w:rsid w:val="00A14A9F"/>
    <w:rsid w:val="00A1612E"/>
    <w:rsid w:val="00A26145"/>
    <w:rsid w:val="00A35DF9"/>
    <w:rsid w:val="00A406F4"/>
    <w:rsid w:val="00A40FA4"/>
    <w:rsid w:val="00A448C1"/>
    <w:rsid w:val="00A50F33"/>
    <w:rsid w:val="00A52E71"/>
    <w:rsid w:val="00A56E08"/>
    <w:rsid w:val="00A63BB4"/>
    <w:rsid w:val="00A70F24"/>
    <w:rsid w:val="00A71CFD"/>
    <w:rsid w:val="00A74859"/>
    <w:rsid w:val="00A77278"/>
    <w:rsid w:val="00A81030"/>
    <w:rsid w:val="00A825CD"/>
    <w:rsid w:val="00A833EB"/>
    <w:rsid w:val="00A90301"/>
    <w:rsid w:val="00A93BC5"/>
    <w:rsid w:val="00A93FE2"/>
    <w:rsid w:val="00AA0C2D"/>
    <w:rsid w:val="00AA2DA9"/>
    <w:rsid w:val="00AA3DDE"/>
    <w:rsid w:val="00AA3FDC"/>
    <w:rsid w:val="00AA4114"/>
    <w:rsid w:val="00AA5C5F"/>
    <w:rsid w:val="00AA634A"/>
    <w:rsid w:val="00AB4C87"/>
    <w:rsid w:val="00AC7B80"/>
    <w:rsid w:val="00AD2F99"/>
    <w:rsid w:val="00AD36CC"/>
    <w:rsid w:val="00AD6643"/>
    <w:rsid w:val="00AD7CFA"/>
    <w:rsid w:val="00AE2483"/>
    <w:rsid w:val="00AE507C"/>
    <w:rsid w:val="00AE7E0C"/>
    <w:rsid w:val="00AF05BF"/>
    <w:rsid w:val="00AF24B2"/>
    <w:rsid w:val="00AF284A"/>
    <w:rsid w:val="00B01292"/>
    <w:rsid w:val="00B0535A"/>
    <w:rsid w:val="00B06559"/>
    <w:rsid w:val="00B102DD"/>
    <w:rsid w:val="00B16776"/>
    <w:rsid w:val="00B17836"/>
    <w:rsid w:val="00B20FBF"/>
    <w:rsid w:val="00B213EF"/>
    <w:rsid w:val="00B24B1C"/>
    <w:rsid w:val="00B25628"/>
    <w:rsid w:val="00B2569E"/>
    <w:rsid w:val="00B26F61"/>
    <w:rsid w:val="00B311DD"/>
    <w:rsid w:val="00B31819"/>
    <w:rsid w:val="00B356A3"/>
    <w:rsid w:val="00B36D33"/>
    <w:rsid w:val="00B370FE"/>
    <w:rsid w:val="00B37FA9"/>
    <w:rsid w:val="00B43E0B"/>
    <w:rsid w:val="00B5055F"/>
    <w:rsid w:val="00B50865"/>
    <w:rsid w:val="00B52434"/>
    <w:rsid w:val="00B53447"/>
    <w:rsid w:val="00B54337"/>
    <w:rsid w:val="00B61CC3"/>
    <w:rsid w:val="00B63D63"/>
    <w:rsid w:val="00B64233"/>
    <w:rsid w:val="00B657C1"/>
    <w:rsid w:val="00B715BE"/>
    <w:rsid w:val="00B72F8C"/>
    <w:rsid w:val="00B75F3A"/>
    <w:rsid w:val="00B821E3"/>
    <w:rsid w:val="00B82FC0"/>
    <w:rsid w:val="00B93734"/>
    <w:rsid w:val="00B976ED"/>
    <w:rsid w:val="00BA538B"/>
    <w:rsid w:val="00BA7664"/>
    <w:rsid w:val="00BB7753"/>
    <w:rsid w:val="00BC0876"/>
    <w:rsid w:val="00BD57E4"/>
    <w:rsid w:val="00BE11CD"/>
    <w:rsid w:val="00BF077E"/>
    <w:rsid w:val="00BF0796"/>
    <w:rsid w:val="00BF3232"/>
    <w:rsid w:val="00BF43E9"/>
    <w:rsid w:val="00BF61F4"/>
    <w:rsid w:val="00C01BBA"/>
    <w:rsid w:val="00C0375E"/>
    <w:rsid w:val="00C03AD7"/>
    <w:rsid w:val="00C10F53"/>
    <w:rsid w:val="00C17A4B"/>
    <w:rsid w:val="00C231A9"/>
    <w:rsid w:val="00C23B66"/>
    <w:rsid w:val="00C323B2"/>
    <w:rsid w:val="00C42043"/>
    <w:rsid w:val="00C42655"/>
    <w:rsid w:val="00C42AFD"/>
    <w:rsid w:val="00C42E8E"/>
    <w:rsid w:val="00C43775"/>
    <w:rsid w:val="00C44968"/>
    <w:rsid w:val="00C44E77"/>
    <w:rsid w:val="00C44FA2"/>
    <w:rsid w:val="00C63361"/>
    <w:rsid w:val="00C70907"/>
    <w:rsid w:val="00C72AC5"/>
    <w:rsid w:val="00C75484"/>
    <w:rsid w:val="00C77C59"/>
    <w:rsid w:val="00C905A2"/>
    <w:rsid w:val="00C9510A"/>
    <w:rsid w:val="00C972C4"/>
    <w:rsid w:val="00CA376C"/>
    <w:rsid w:val="00CB118C"/>
    <w:rsid w:val="00CB2B64"/>
    <w:rsid w:val="00CB2DE4"/>
    <w:rsid w:val="00CB3528"/>
    <w:rsid w:val="00CC35C4"/>
    <w:rsid w:val="00CD3168"/>
    <w:rsid w:val="00CD5185"/>
    <w:rsid w:val="00CD5428"/>
    <w:rsid w:val="00CE0AE4"/>
    <w:rsid w:val="00CE404D"/>
    <w:rsid w:val="00CF631B"/>
    <w:rsid w:val="00CF7CC9"/>
    <w:rsid w:val="00D00700"/>
    <w:rsid w:val="00D0420A"/>
    <w:rsid w:val="00D11CCD"/>
    <w:rsid w:val="00D241BD"/>
    <w:rsid w:val="00D25B12"/>
    <w:rsid w:val="00D25C05"/>
    <w:rsid w:val="00D31159"/>
    <w:rsid w:val="00D34A4A"/>
    <w:rsid w:val="00D35EAE"/>
    <w:rsid w:val="00D3610F"/>
    <w:rsid w:val="00D3630D"/>
    <w:rsid w:val="00D36C3B"/>
    <w:rsid w:val="00D414E5"/>
    <w:rsid w:val="00D418CC"/>
    <w:rsid w:val="00D44FFF"/>
    <w:rsid w:val="00D518C0"/>
    <w:rsid w:val="00D53326"/>
    <w:rsid w:val="00D536BB"/>
    <w:rsid w:val="00D54E11"/>
    <w:rsid w:val="00D54E9D"/>
    <w:rsid w:val="00D57D4C"/>
    <w:rsid w:val="00D649B9"/>
    <w:rsid w:val="00D66BC3"/>
    <w:rsid w:val="00D707FF"/>
    <w:rsid w:val="00D72939"/>
    <w:rsid w:val="00D73989"/>
    <w:rsid w:val="00D73DCC"/>
    <w:rsid w:val="00D74574"/>
    <w:rsid w:val="00D74CF1"/>
    <w:rsid w:val="00D75109"/>
    <w:rsid w:val="00D80439"/>
    <w:rsid w:val="00D844B8"/>
    <w:rsid w:val="00D85307"/>
    <w:rsid w:val="00D86AD1"/>
    <w:rsid w:val="00D87572"/>
    <w:rsid w:val="00D90515"/>
    <w:rsid w:val="00DA12AE"/>
    <w:rsid w:val="00DA592D"/>
    <w:rsid w:val="00DA789E"/>
    <w:rsid w:val="00DB03E0"/>
    <w:rsid w:val="00DB2581"/>
    <w:rsid w:val="00DB2833"/>
    <w:rsid w:val="00DB2D8D"/>
    <w:rsid w:val="00DB5D77"/>
    <w:rsid w:val="00DC1C3B"/>
    <w:rsid w:val="00DC3184"/>
    <w:rsid w:val="00DC423B"/>
    <w:rsid w:val="00DD7273"/>
    <w:rsid w:val="00DE7CF0"/>
    <w:rsid w:val="00E11F37"/>
    <w:rsid w:val="00E12DF7"/>
    <w:rsid w:val="00E172AC"/>
    <w:rsid w:val="00E21875"/>
    <w:rsid w:val="00E2260C"/>
    <w:rsid w:val="00E27CAF"/>
    <w:rsid w:val="00E325C8"/>
    <w:rsid w:val="00E365E6"/>
    <w:rsid w:val="00E40656"/>
    <w:rsid w:val="00E5696C"/>
    <w:rsid w:val="00E57B42"/>
    <w:rsid w:val="00E60F6D"/>
    <w:rsid w:val="00E63CA7"/>
    <w:rsid w:val="00E649E4"/>
    <w:rsid w:val="00E66842"/>
    <w:rsid w:val="00E70E11"/>
    <w:rsid w:val="00E71833"/>
    <w:rsid w:val="00E72FAB"/>
    <w:rsid w:val="00E757AD"/>
    <w:rsid w:val="00E85328"/>
    <w:rsid w:val="00E85502"/>
    <w:rsid w:val="00E9148A"/>
    <w:rsid w:val="00E93270"/>
    <w:rsid w:val="00E97A47"/>
    <w:rsid w:val="00EA1522"/>
    <w:rsid w:val="00EA3349"/>
    <w:rsid w:val="00EA5EB5"/>
    <w:rsid w:val="00EB17CD"/>
    <w:rsid w:val="00EB2C05"/>
    <w:rsid w:val="00EB54BC"/>
    <w:rsid w:val="00EB5DE1"/>
    <w:rsid w:val="00EB6CD6"/>
    <w:rsid w:val="00EB6EC3"/>
    <w:rsid w:val="00EC1919"/>
    <w:rsid w:val="00EC4F0C"/>
    <w:rsid w:val="00EC5946"/>
    <w:rsid w:val="00ED044F"/>
    <w:rsid w:val="00ED3F97"/>
    <w:rsid w:val="00ED46DD"/>
    <w:rsid w:val="00ED75AD"/>
    <w:rsid w:val="00EE3B98"/>
    <w:rsid w:val="00EE7538"/>
    <w:rsid w:val="00EF3663"/>
    <w:rsid w:val="00EF3F61"/>
    <w:rsid w:val="00EF4C3B"/>
    <w:rsid w:val="00F07A57"/>
    <w:rsid w:val="00F133BD"/>
    <w:rsid w:val="00F2162E"/>
    <w:rsid w:val="00F21A2C"/>
    <w:rsid w:val="00F25ADA"/>
    <w:rsid w:val="00F26529"/>
    <w:rsid w:val="00F3601F"/>
    <w:rsid w:val="00F362F5"/>
    <w:rsid w:val="00F42B2C"/>
    <w:rsid w:val="00F4334C"/>
    <w:rsid w:val="00F438AA"/>
    <w:rsid w:val="00F43AE8"/>
    <w:rsid w:val="00F46349"/>
    <w:rsid w:val="00F5209D"/>
    <w:rsid w:val="00F54CBF"/>
    <w:rsid w:val="00F668F4"/>
    <w:rsid w:val="00F67376"/>
    <w:rsid w:val="00F70A7E"/>
    <w:rsid w:val="00F70D16"/>
    <w:rsid w:val="00F7298F"/>
    <w:rsid w:val="00F827B1"/>
    <w:rsid w:val="00F85850"/>
    <w:rsid w:val="00F90708"/>
    <w:rsid w:val="00F90860"/>
    <w:rsid w:val="00FA2EA0"/>
    <w:rsid w:val="00FA3DE9"/>
    <w:rsid w:val="00FA6F85"/>
    <w:rsid w:val="00FB2DF9"/>
    <w:rsid w:val="00FB6127"/>
    <w:rsid w:val="00FB6323"/>
    <w:rsid w:val="00FB638E"/>
    <w:rsid w:val="00FC1A2A"/>
    <w:rsid w:val="00FC2A7A"/>
    <w:rsid w:val="00FC51F2"/>
    <w:rsid w:val="00FC79AC"/>
    <w:rsid w:val="00FD0CC0"/>
    <w:rsid w:val="00FD398D"/>
    <w:rsid w:val="00FD657C"/>
    <w:rsid w:val="00FD77DB"/>
    <w:rsid w:val="00FE171D"/>
    <w:rsid w:val="00FE367A"/>
    <w:rsid w:val="00FE4223"/>
    <w:rsid w:val="00FE45EE"/>
    <w:rsid w:val="00FF1CFB"/>
    <w:rsid w:val="00FF2019"/>
    <w:rsid w:val="00FF2CBB"/>
    <w:rsid w:val="00FF6FF7"/>
    <w:rsid w:val="6FC13A46"/>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14:ligatures w14:val="standardContextual"/>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7">
    <w:name w:val="toc 2"/>
    <w:basedOn w:val="1"/>
    <w:next w:val="1"/>
    <w:semiHidden/>
    <w:unhideWhenUsed/>
    <w:uiPriority w:val="39"/>
    <w:pPr>
      <w:ind w:left="420" w:leftChars="200"/>
    </w:pPr>
  </w:style>
  <w:style w:type="character" w:styleId="10">
    <w:name w:val="Strong"/>
    <w:basedOn w:val="9"/>
    <w:qFormat/>
    <w:uiPriority w:val="22"/>
    <w:rPr>
      <w:b/>
    </w:rPr>
  </w:style>
  <w:style w:type="character" w:styleId="11">
    <w:name w:val="Hyperlink"/>
    <w:unhideWhenUsed/>
    <w:qFormat/>
    <w:uiPriority w:val="99"/>
    <w:rPr>
      <w:color w:val="0000FF"/>
      <w:u w:val="single"/>
    </w:rPr>
  </w:style>
  <w:style w:type="character" w:customStyle="1" w:styleId="12">
    <w:name w:val="页眉 字符"/>
    <w:basedOn w:val="9"/>
    <w:link w:val="5"/>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标题 1 字符"/>
    <w:basedOn w:val="9"/>
    <w:link w:val="2"/>
    <w:qFormat/>
    <w:uiPriority w:val="0"/>
    <w:rPr>
      <w:rFonts w:ascii="Times New Roman" w:hAnsi="Times New Roman" w:eastAsia="宋体" w:cs="Times New Roman"/>
      <w:b/>
      <w:bCs/>
      <w:kern w:val="44"/>
      <w:sz w:val="44"/>
      <w:szCs w:val="44"/>
    </w:rPr>
  </w:style>
  <w:style w:type="paragraph" w:styleId="15">
    <w:name w:val="List Paragraph"/>
    <w:basedOn w:val="1"/>
    <w:uiPriority w:val="99"/>
    <w:pPr>
      <w:ind w:firstLine="420" w:firstLineChars="200"/>
    </w:pPr>
  </w:style>
  <w:style w:type="character" w:customStyle="1" w:styleId="16">
    <w:name w:val="日期 字符"/>
    <w:basedOn w:val="9"/>
    <w:link w:val="3"/>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3410</Words>
  <Characters>3536</Characters>
  <Lines>29</Lines>
  <Paragraphs>8</Paragraphs>
  <TotalTime>7</TotalTime>
  <ScaleCrop>false</ScaleCrop>
  <LinksUpToDate>false</LinksUpToDate>
  <CharactersWithSpaces>3573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2024-07-23T09:22:00Z</dcterms:created>
  <dc:creator>姿 wang</dc:creator>
  <cp:lastModifiedBy>COMIN</cp:lastModifiedBy>
  <dcterms:modified xsi:type="dcterms:W3CDTF">2025-07-01T10:13:18Z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eyJoZGlkIjoiMzEwNTM5NzYwMDRjMzkwZTVkZjY2ODkwMGIxNGU0OTUiLCJ1c2VySWQiOiIzNzYzODY0MzYifQ==</vt:lpwstr>
  </property>
  <property fmtid="{D5CDD505-2E9C-101B-9397-08002B2CF9AE}" pid="3" name="KSOProductBuildVer">
    <vt:lpwstr>2052-12.1.0.21541</vt:lpwstr>
  </property>
  <property fmtid="{D5CDD505-2E9C-101B-9397-08002B2CF9AE}" pid="4" name="ICV">
    <vt:lpwstr>932B8EDF2A3B483EAE0BA775B0825BB6_13</vt:lpwstr>
  </property>
</Properties>
</file>