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DE444">
      <w:pPr>
        <w:spacing w:line="560" w:lineRule="exact"/>
        <w:rPr>
          <w:rFonts w:ascii="仿宋_GB2312" w:eastAsia="仿宋_GB2312"/>
          <w:sz w:val="32"/>
          <w:szCs w:val="32"/>
        </w:rPr>
      </w:pPr>
      <w:bookmarkStart w:id="0" w:name="_Hlk99476069"/>
    </w:p>
    <w:p w14:paraId="693ABEB2">
      <w:pPr>
        <w:spacing w:line="560" w:lineRule="exact"/>
        <w:rPr>
          <w:rFonts w:ascii="仿宋_GB2312" w:eastAsia="仿宋_GB2312"/>
          <w:sz w:val="32"/>
          <w:szCs w:val="32"/>
        </w:rPr>
      </w:pPr>
    </w:p>
    <w:p w14:paraId="0DB2A323">
      <w:pPr>
        <w:spacing w:line="560" w:lineRule="exact"/>
        <w:rPr>
          <w:rFonts w:ascii="仿宋_GB2312" w:eastAsia="仿宋_GB2312"/>
          <w:sz w:val="32"/>
          <w:szCs w:val="32"/>
        </w:rPr>
      </w:pPr>
    </w:p>
    <w:p w14:paraId="19291B7B">
      <w:pPr>
        <w:spacing w:line="560" w:lineRule="exact"/>
        <w:rPr>
          <w:rFonts w:ascii="仿宋_GB2312" w:eastAsia="仿宋_GB2312"/>
          <w:sz w:val="32"/>
          <w:szCs w:val="32"/>
        </w:rPr>
      </w:pPr>
    </w:p>
    <w:p w14:paraId="59100623">
      <w:pPr>
        <w:spacing w:line="560" w:lineRule="exact"/>
        <w:rPr>
          <w:rFonts w:ascii="仿宋_GB2312" w:eastAsia="仿宋_GB2312"/>
          <w:sz w:val="32"/>
          <w:szCs w:val="32"/>
        </w:rPr>
      </w:pPr>
    </w:p>
    <w:p w14:paraId="56C85F5B">
      <w:pPr>
        <w:spacing w:line="560" w:lineRule="exact"/>
        <w:jc w:val="center"/>
        <w:rPr>
          <w:rFonts w:hint="eastAsia" w:ascii="方正小标宋简体" w:hAnsi="华文中宋" w:eastAsia="方正小标宋简体"/>
          <w:bCs/>
          <w:sz w:val="36"/>
          <w:szCs w:val="36"/>
        </w:rPr>
      </w:pPr>
      <w:r>
        <w:rPr>
          <w:rFonts w:hint="eastAsia" w:ascii="方正小标宋简体" w:hAnsi="华文中宋" w:eastAsia="方正小标宋简体"/>
          <w:bCs/>
          <w:sz w:val="36"/>
          <w:szCs w:val="36"/>
        </w:rPr>
        <w:t>《</w:t>
      </w:r>
      <w:bookmarkStart w:id="19" w:name="_GoBack"/>
      <w:r>
        <w:rPr>
          <w:rFonts w:hint="eastAsia" w:ascii="方正小标宋简体" w:hAnsi="华文中宋" w:eastAsia="方正小标宋简体"/>
          <w:bCs/>
          <w:sz w:val="36"/>
          <w:szCs w:val="36"/>
        </w:rPr>
        <w:t>商务楼宇运营管理与服务绩效评价</w:t>
      </w:r>
      <w:bookmarkEnd w:id="19"/>
      <w:r>
        <w:rPr>
          <w:rFonts w:hint="eastAsia" w:ascii="方正小标宋简体" w:hAnsi="华文中宋" w:eastAsia="方正小标宋简体"/>
          <w:bCs/>
          <w:sz w:val="36"/>
          <w:szCs w:val="36"/>
        </w:rPr>
        <w:t>》</w:t>
      </w:r>
    </w:p>
    <w:p w14:paraId="5427B22D">
      <w:pPr>
        <w:spacing w:line="560" w:lineRule="exact"/>
        <w:jc w:val="center"/>
        <w:rPr>
          <w:rFonts w:ascii="方正小标宋简体" w:eastAsia="方正小标宋简体"/>
          <w:bCs/>
          <w:sz w:val="36"/>
          <w:szCs w:val="36"/>
        </w:rPr>
      </w:pPr>
      <w:r>
        <w:rPr>
          <w:rFonts w:hint="eastAsia" w:ascii="方正小标宋简体" w:hAnsi="华文中宋" w:eastAsia="方正小标宋简体"/>
          <w:bCs/>
          <w:sz w:val="36"/>
          <w:szCs w:val="36"/>
        </w:rPr>
        <w:t>团体标准编制说明</w:t>
      </w:r>
    </w:p>
    <w:p w14:paraId="11EB3F7E">
      <w:pPr>
        <w:spacing w:line="560" w:lineRule="exact"/>
        <w:jc w:val="center"/>
        <w:rPr>
          <w:rFonts w:ascii="方正小标宋简体" w:hAnsi="华文中宋" w:eastAsia="方正小标宋简体"/>
          <w:sz w:val="44"/>
          <w:szCs w:val="44"/>
        </w:rPr>
      </w:pPr>
    </w:p>
    <w:p w14:paraId="08EF81C5">
      <w:pPr>
        <w:spacing w:line="560" w:lineRule="exact"/>
        <w:jc w:val="center"/>
        <w:rPr>
          <w:rFonts w:ascii="方正小标宋简体" w:hAnsi="华文中宋" w:eastAsia="方正小标宋简体"/>
          <w:sz w:val="44"/>
          <w:szCs w:val="44"/>
        </w:rPr>
      </w:pPr>
    </w:p>
    <w:p w14:paraId="6752107F">
      <w:pPr>
        <w:spacing w:line="560" w:lineRule="exact"/>
        <w:jc w:val="center"/>
        <w:rPr>
          <w:rFonts w:ascii="方正小标宋简体" w:hAnsi="华文中宋" w:eastAsia="方正小标宋简体"/>
          <w:sz w:val="44"/>
          <w:szCs w:val="44"/>
        </w:rPr>
      </w:pPr>
    </w:p>
    <w:p w14:paraId="524FBF3D">
      <w:pPr>
        <w:spacing w:line="560" w:lineRule="exact"/>
        <w:jc w:val="center"/>
        <w:rPr>
          <w:rFonts w:ascii="方正小标宋简体" w:hAnsi="华文中宋" w:eastAsia="方正小标宋简体"/>
          <w:sz w:val="44"/>
          <w:szCs w:val="44"/>
        </w:rPr>
      </w:pPr>
    </w:p>
    <w:p w14:paraId="58685E9A">
      <w:pPr>
        <w:spacing w:line="560" w:lineRule="exact"/>
        <w:jc w:val="center"/>
        <w:rPr>
          <w:rFonts w:ascii="方正小标宋简体" w:hAnsi="华文中宋" w:eastAsia="方正小标宋简体"/>
          <w:sz w:val="44"/>
          <w:szCs w:val="44"/>
        </w:rPr>
      </w:pPr>
    </w:p>
    <w:p w14:paraId="370212D0">
      <w:pPr>
        <w:spacing w:line="560" w:lineRule="exact"/>
        <w:jc w:val="center"/>
        <w:rPr>
          <w:rFonts w:ascii="方正小标宋简体" w:hAnsi="华文中宋" w:eastAsia="方正小标宋简体"/>
          <w:sz w:val="44"/>
          <w:szCs w:val="44"/>
        </w:rPr>
      </w:pPr>
    </w:p>
    <w:p w14:paraId="6598795F">
      <w:pPr>
        <w:spacing w:line="560" w:lineRule="exact"/>
        <w:jc w:val="center"/>
        <w:rPr>
          <w:rFonts w:ascii="方正小标宋简体" w:hAnsi="华文中宋" w:eastAsia="方正小标宋简体"/>
          <w:sz w:val="44"/>
          <w:szCs w:val="44"/>
        </w:rPr>
      </w:pPr>
    </w:p>
    <w:p w14:paraId="25751A1D">
      <w:pPr>
        <w:spacing w:line="560" w:lineRule="exact"/>
        <w:jc w:val="center"/>
        <w:rPr>
          <w:rFonts w:ascii="方正小标宋简体" w:hAnsi="华文中宋" w:eastAsia="方正小标宋简体"/>
          <w:sz w:val="44"/>
          <w:szCs w:val="44"/>
        </w:rPr>
      </w:pPr>
    </w:p>
    <w:p w14:paraId="187793E5">
      <w:pPr>
        <w:spacing w:line="560" w:lineRule="exact"/>
        <w:jc w:val="center"/>
        <w:rPr>
          <w:rFonts w:ascii="方正小标宋简体" w:hAnsi="华文中宋" w:eastAsia="方正小标宋简体"/>
          <w:sz w:val="44"/>
          <w:szCs w:val="44"/>
        </w:rPr>
      </w:pPr>
    </w:p>
    <w:p w14:paraId="3E716500">
      <w:pPr>
        <w:spacing w:line="560" w:lineRule="exact"/>
        <w:jc w:val="center"/>
        <w:rPr>
          <w:rFonts w:ascii="方正小标宋简体" w:hAnsi="华文中宋" w:eastAsia="方正小标宋简体"/>
          <w:sz w:val="44"/>
          <w:szCs w:val="44"/>
        </w:rPr>
      </w:pPr>
    </w:p>
    <w:p w14:paraId="1F3C7C4E">
      <w:pPr>
        <w:spacing w:line="560" w:lineRule="exact"/>
        <w:jc w:val="center"/>
        <w:rPr>
          <w:rFonts w:ascii="方正小标宋简体" w:hAnsi="华文中宋" w:eastAsia="方正小标宋简体"/>
          <w:sz w:val="44"/>
          <w:szCs w:val="44"/>
        </w:rPr>
      </w:pPr>
    </w:p>
    <w:p w14:paraId="6E7984DD">
      <w:pPr>
        <w:spacing w:line="560" w:lineRule="exact"/>
        <w:jc w:val="center"/>
        <w:rPr>
          <w:rFonts w:ascii="方正小标宋简体" w:hAnsi="华文中宋" w:eastAsia="方正小标宋简体"/>
          <w:sz w:val="28"/>
          <w:szCs w:val="44"/>
        </w:rPr>
      </w:pPr>
      <w:r>
        <w:rPr>
          <w:rFonts w:hint="eastAsia" w:ascii="方正小标宋简体" w:hAnsi="华文中宋" w:eastAsia="方正小标宋简体"/>
          <w:sz w:val="28"/>
          <w:szCs w:val="44"/>
        </w:rPr>
        <w:t>中国国际投资促进会</w:t>
      </w:r>
    </w:p>
    <w:p w14:paraId="46EB0BE5">
      <w:pPr>
        <w:spacing w:line="560" w:lineRule="exact"/>
        <w:jc w:val="center"/>
        <w:rPr>
          <w:rFonts w:ascii="方正小标宋简体" w:hAnsi="华文中宋" w:eastAsia="方正小标宋简体"/>
          <w:sz w:val="28"/>
          <w:szCs w:val="44"/>
        </w:rPr>
      </w:pPr>
      <w:r>
        <w:rPr>
          <w:rFonts w:hint="eastAsia" w:ascii="方正小标宋简体" w:hAnsi="华文中宋" w:eastAsia="方正小标宋简体"/>
          <w:sz w:val="28"/>
          <w:szCs w:val="44"/>
        </w:rPr>
        <w:t>2</w:t>
      </w:r>
      <w:r>
        <w:rPr>
          <w:rFonts w:ascii="方正小标宋简体" w:hAnsi="华文中宋" w:eastAsia="方正小标宋简体"/>
          <w:sz w:val="28"/>
          <w:szCs w:val="44"/>
        </w:rPr>
        <w:t>02</w:t>
      </w:r>
      <w:r>
        <w:rPr>
          <w:rFonts w:hint="eastAsia" w:ascii="方正小标宋简体" w:hAnsi="华文中宋" w:eastAsia="方正小标宋简体"/>
          <w:sz w:val="28"/>
          <w:szCs w:val="44"/>
          <w:lang w:val="en-US" w:eastAsia="zh-CN"/>
        </w:rPr>
        <w:t>5</w:t>
      </w:r>
      <w:r>
        <w:rPr>
          <w:rFonts w:hint="eastAsia" w:ascii="方正小标宋简体" w:hAnsi="华文中宋" w:eastAsia="方正小标宋简体"/>
          <w:sz w:val="28"/>
          <w:szCs w:val="44"/>
        </w:rPr>
        <w:t>年7月1日</w:t>
      </w:r>
    </w:p>
    <w:p w14:paraId="7FE433EA">
      <w:pPr>
        <w:spacing w:line="560" w:lineRule="exact"/>
        <w:jc w:val="center"/>
        <w:rPr>
          <w:rFonts w:ascii="方正小标宋简体" w:hAnsi="华文中宋" w:eastAsia="方正小标宋简体"/>
          <w:sz w:val="32"/>
          <w:szCs w:val="44"/>
        </w:rPr>
        <w:sectPr>
          <w:footerReference r:id="rId3" w:type="default"/>
          <w:footerReference r:id="rId4" w:type="even"/>
          <w:type w:val="evenPage"/>
          <w:pgSz w:w="11906" w:h="16838"/>
          <w:pgMar w:top="1440" w:right="1797" w:bottom="1440" w:left="1797" w:header="851" w:footer="992" w:gutter="0"/>
          <w:pgNumType w:start="1"/>
          <w:cols w:space="425" w:num="1"/>
          <w:titlePg/>
          <w:docGrid w:type="lines" w:linePitch="312" w:charSpace="0"/>
        </w:sectPr>
      </w:pPr>
    </w:p>
    <w:p w14:paraId="59AC52A6">
      <w:pPr>
        <w:spacing w:line="560" w:lineRule="exact"/>
        <w:jc w:val="center"/>
        <w:rPr>
          <w:rFonts w:ascii="方正小标宋简体" w:hAnsi="华文中宋" w:eastAsia="方正小标宋简体"/>
          <w:sz w:val="32"/>
          <w:szCs w:val="44"/>
        </w:rPr>
      </w:pPr>
    </w:p>
    <w:p w14:paraId="651DD382">
      <w:pPr>
        <w:spacing w:line="560" w:lineRule="exact"/>
        <w:jc w:val="center"/>
        <w:rPr>
          <w:rFonts w:ascii="汉仪中宋简" w:eastAsia="汉仪中宋简"/>
          <w:sz w:val="44"/>
          <w:szCs w:val="44"/>
          <w:lang w:val="zh-CN"/>
        </w:rPr>
      </w:pPr>
      <w:r>
        <w:rPr>
          <w:rFonts w:hint="eastAsia" w:ascii="汉仪中宋简" w:eastAsia="汉仪中宋简"/>
          <w:sz w:val="44"/>
          <w:szCs w:val="44"/>
          <w:lang w:val="zh-CN"/>
        </w:rPr>
        <w:t>目 录</w:t>
      </w:r>
    </w:p>
    <w:p w14:paraId="44481817">
      <w:pPr>
        <w:spacing w:line="560" w:lineRule="exact"/>
        <w:jc w:val="center"/>
        <w:rPr>
          <w:rFonts w:hint="eastAsia" w:ascii="方正仿宋_GB2312" w:hAnsi="方正仿宋_GB2312" w:eastAsia="方正仿宋_GB2312" w:cs="方正仿宋_GB2312"/>
          <w:sz w:val="44"/>
          <w:szCs w:val="44"/>
        </w:rPr>
      </w:pPr>
    </w:p>
    <w:p w14:paraId="58CBDE1D">
      <w:pPr>
        <w:pStyle w:val="6"/>
        <w:tabs>
          <w:tab w:val="right" w:leader="dot" w:pos="8312"/>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TOC \o "1-3" \h \z \u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_Toc30325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一、任务来源，起草单位，协作单位，主要起草人</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_Toc30325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fldChar w:fldCharType="end"/>
      </w:r>
    </w:p>
    <w:p w14:paraId="1223ACC1">
      <w:pPr>
        <w:pStyle w:val="6"/>
        <w:tabs>
          <w:tab w:val="right" w:leader="dot" w:pos="8312"/>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lang w:val="zh-CN"/>
        </w:rPr>
        <w:fldChar w:fldCharType="begin"/>
      </w:r>
      <w:r>
        <w:rPr>
          <w:rFonts w:hint="eastAsia" w:ascii="方正仿宋_GB2312" w:hAnsi="方正仿宋_GB2312" w:eastAsia="方正仿宋_GB2312" w:cs="方正仿宋_GB2312"/>
          <w:bCs/>
          <w:sz w:val="28"/>
          <w:szCs w:val="28"/>
          <w:lang w:val="zh-CN"/>
        </w:rPr>
        <w:instrText xml:space="preserve"> HYPERLINK \l _Toc30233 </w:instrText>
      </w:r>
      <w:r>
        <w:rPr>
          <w:rFonts w:hint="eastAsia" w:ascii="方正仿宋_GB2312" w:hAnsi="方正仿宋_GB2312" w:eastAsia="方正仿宋_GB2312" w:cs="方正仿宋_GB2312"/>
          <w:bCs/>
          <w:sz w:val="28"/>
          <w:szCs w:val="28"/>
          <w:lang w:val="zh-CN"/>
        </w:rPr>
        <w:fldChar w:fldCharType="separate"/>
      </w:r>
      <w:r>
        <w:rPr>
          <w:rFonts w:hint="eastAsia" w:ascii="方正仿宋_GB2312" w:hAnsi="方正仿宋_GB2312" w:eastAsia="方正仿宋_GB2312" w:cs="方正仿宋_GB2312"/>
          <w:sz w:val="28"/>
          <w:szCs w:val="28"/>
        </w:rPr>
        <w:t>二、制定标准的必要性和意义</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_Toc30233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lang w:val="zh-CN"/>
        </w:rPr>
        <w:fldChar w:fldCharType="end"/>
      </w:r>
    </w:p>
    <w:p w14:paraId="56F6D48B">
      <w:pPr>
        <w:pStyle w:val="6"/>
        <w:tabs>
          <w:tab w:val="right" w:leader="dot" w:pos="8312"/>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lang w:val="zh-CN"/>
        </w:rPr>
        <w:fldChar w:fldCharType="begin"/>
      </w:r>
      <w:r>
        <w:rPr>
          <w:rFonts w:hint="eastAsia" w:ascii="方正仿宋_GB2312" w:hAnsi="方正仿宋_GB2312" w:eastAsia="方正仿宋_GB2312" w:cs="方正仿宋_GB2312"/>
          <w:bCs/>
          <w:sz w:val="28"/>
          <w:szCs w:val="28"/>
          <w:lang w:val="zh-CN"/>
        </w:rPr>
        <w:instrText xml:space="preserve"> HYPERLINK \l _Toc8114 </w:instrText>
      </w:r>
      <w:r>
        <w:rPr>
          <w:rFonts w:hint="eastAsia" w:ascii="方正仿宋_GB2312" w:hAnsi="方正仿宋_GB2312" w:eastAsia="方正仿宋_GB2312" w:cs="方正仿宋_GB2312"/>
          <w:bCs/>
          <w:sz w:val="28"/>
          <w:szCs w:val="28"/>
          <w:lang w:val="zh-CN"/>
        </w:rPr>
        <w:fldChar w:fldCharType="separate"/>
      </w:r>
      <w:r>
        <w:rPr>
          <w:rFonts w:hint="eastAsia" w:ascii="方正仿宋_GB2312" w:hAnsi="方正仿宋_GB2312" w:eastAsia="方正仿宋_GB2312" w:cs="方正仿宋_GB2312"/>
          <w:sz w:val="28"/>
          <w:szCs w:val="28"/>
        </w:rPr>
        <w:t>三、主要工作过程</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_Toc8114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4</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lang w:val="zh-CN"/>
        </w:rPr>
        <w:fldChar w:fldCharType="end"/>
      </w:r>
    </w:p>
    <w:p w14:paraId="229D14E0">
      <w:pPr>
        <w:pStyle w:val="6"/>
        <w:tabs>
          <w:tab w:val="right" w:leader="dot" w:pos="8312"/>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lang w:val="zh-CN"/>
        </w:rPr>
        <w:fldChar w:fldCharType="begin"/>
      </w:r>
      <w:r>
        <w:rPr>
          <w:rFonts w:hint="eastAsia" w:ascii="方正仿宋_GB2312" w:hAnsi="方正仿宋_GB2312" w:eastAsia="方正仿宋_GB2312" w:cs="方正仿宋_GB2312"/>
          <w:bCs/>
          <w:sz w:val="28"/>
          <w:szCs w:val="28"/>
          <w:lang w:val="zh-CN"/>
        </w:rPr>
        <w:instrText xml:space="preserve"> HYPERLINK \l _Toc23023 </w:instrText>
      </w:r>
      <w:r>
        <w:rPr>
          <w:rFonts w:hint="eastAsia" w:ascii="方正仿宋_GB2312" w:hAnsi="方正仿宋_GB2312" w:eastAsia="方正仿宋_GB2312" w:cs="方正仿宋_GB2312"/>
          <w:bCs/>
          <w:sz w:val="28"/>
          <w:szCs w:val="28"/>
          <w:lang w:val="zh-CN"/>
        </w:rPr>
        <w:fldChar w:fldCharType="separate"/>
      </w:r>
      <w:r>
        <w:rPr>
          <w:rFonts w:hint="eastAsia" w:ascii="方正仿宋_GB2312" w:hAnsi="方正仿宋_GB2312" w:eastAsia="方正仿宋_GB2312" w:cs="方正仿宋_GB2312"/>
          <w:sz w:val="28"/>
          <w:szCs w:val="28"/>
        </w:rPr>
        <w:t>四、制定标准的原则和依据，与现行法律、法规、标准的关系</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_Toc23023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5</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lang w:val="zh-CN"/>
        </w:rPr>
        <w:fldChar w:fldCharType="end"/>
      </w:r>
    </w:p>
    <w:p w14:paraId="6BBDCA39">
      <w:pPr>
        <w:pStyle w:val="6"/>
        <w:tabs>
          <w:tab w:val="right" w:leader="dot" w:pos="8312"/>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lang w:val="zh-CN"/>
        </w:rPr>
        <w:fldChar w:fldCharType="begin"/>
      </w:r>
      <w:r>
        <w:rPr>
          <w:rFonts w:hint="eastAsia" w:ascii="方正仿宋_GB2312" w:hAnsi="方正仿宋_GB2312" w:eastAsia="方正仿宋_GB2312" w:cs="方正仿宋_GB2312"/>
          <w:bCs/>
          <w:sz w:val="28"/>
          <w:szCs w:val="28"/>
          <w:lang w:val="zh-CN"/>
        </w:rPr>
        <w:instrText xml:space="preserve"> HYPERLINK \l _Toc27971 </w:instrText>
      </w:r>
      <w:r>
        <w:rPr>
          <w:rFonts w:hint="eastAsia" w:ascii="方正仿宋_GB2312" w:hAnsi="方正仿宋_GB2312" w:eastAsia="方正仿宋_GB2312" w:cs="方正仿宋_GB2312"/>
          <w:bCs/>
          <w:sz w:val="28"/>
          <w:szCs w:val="28"/>
          <w:lang w:val="zh-CN"/>
        </w:rPr>
        <w:fldChar w:fldCharType="separate"/>
      </w:r>
      <w:r>
        <w:rPr>
          <w:rFonts w:hint="eastAsia" w:ascii="方正仿宋_GB2312" w:hAnsi="方正仿宋_GB2312" w:eastAsia="方正仿宋_GB2312" w:cs="方正仿宋_GB2312"/>
          <w:sz w:val="28"/>
          <w:szCs w:val="28"/>
        </w:rPr>
        <w:t>五、主要条款的说明，主要技术指标、参数、实验验证的论述</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_Toc27971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6</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lang w:val="zh-CN"/>
        </w:rPr>
        <w:fldChar w:fldCharType="end"/>
      </w:r>
    </w:p>
    <w:p w14:paraId="2207D763">
      <w:pPr>
        <w:pStyle w:val="7"/>
        <w:tabs>
          <w:tab w:val="right" w:leader="dot" w:pos="8312"/>
        </w:tabs>
        <w:ind w:left="0" w:leftChars="0"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lang w:val="zh-CN"/>
        </w:rPr>
        <w:fldChar w:fldCharType="begin"/>
      </w:r>
      <w:r>
        <w:rPr>
          <w:rFonts w:hint="eastAsia" w:ascii="方正仿宋_GB2312" w:hAnsi="方正仿宋_GB2312" w:eastAsia="方正仿宋_GB2312" w:cs="方正仿宋_GB2312"/>
          <w:bCs/>
          <w:sz w:val="28"/>
          <w:szCs w:val="28"/>
          <w:lang w:val="zh-CN"/>
        </w:rPr>
        <w:instrText xml:space="preserve"> HYPERLINK \l _Toc23517 </w:instrText>
      </w:r>
      <w:r>
        <w:rPr>
          <w:rFonts w:hint="eastAsia" w:ascii="方正仿宋_GB2312" w:hAnsi="方正仿宋_GB2312" w:eastAsia="方正仿宋_GB2312" w:cs="方正仿宋_GB2312"/>
          <w:bCs/>
          <w:sz w:val="28"/>
          <w:szCs w:val="28"/>
          <w:lang w:val="zh-CN"/>
        </w:rPr>
        <w:fldChar w:fldCharType="separate"/>
      </w:r>
      <w:r>
        <w:rPr>
          <w:rFonts w:hint="eastAsia" w:ascii="方正仿宋_GB2312" w:hAnsi="方正仿宋_GB2312" w:eastAsia="方正仿宋_GB2312" w:cs="方正仿宋_GB2312"/>
          <w:sz w:val="28"/>
          <w:szCs w:val="28"/>
        </w:rPr>
        <w:t>六、重大意见分歧的处理依据和结果</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_Toc23517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8</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lang w:val="zh-CN"/>
        </w:rPr>
        <w:fldChar w:fldCharType="end"/>
      </w:r>
    </w:p>
    <w:p w14:paraId="03A36071">
      <w:pPr>
        <w:pStyle w:val="6"/>
        <w:tabs>
          <w:tab w:val="right" w:leader="dot" w:pos="8312"/>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lang w:val="zh-CN"/>
        </w:rPr>
        <w:fldChar w:fldCharType="begin"/>
      </w:r>
      <w:r>
        <w:rPr>
          <w:rFonts w:hint="eastAsia" w:ascii="方正仿宋_GB2312" w:hAnsi="方正仿宋_GB2312" w:eastAsia="方正仿宋_GB2312" w:cs="方正仿宋_GB2312"/>
          <w:bCs/>
          <w:sz w:val="28"/>
          <w:szCs w:val="28"/>
          <w:lang w:val="zh-CN"/>
        </w:rPr>
        <w:instrText xml:space="preserve"> HYPERLINK \l _Toc31807 </w:instrText>
      </w:r>
      <w:r>
        <w:rPr>
          <w:rFonts w:hint="eastAsia" w:ascii="方正仿宋_GB2312" w:hAnsi="方正仿宋_GB2312" w:eastAsia="方正仿宋_GB2312" w:cs="方正仿宋_GB2312"/>
          <w:bCs/>
          <w:sz w:val="28"/>
          <w:szCs w:val="28"/>
          <w:lang w:val="zh-CN"/>
        </w:rPr>
        <w:fldChar w:fldCharType="separate"/>
      </w:r>
      <w:r>
        <w:rPr>
          <w:rFonts w:hint="eastAsia" w:ascii="方正仿宋_GB2312" w:hAnsi="方正仿宋_GB2312" w:eastAsia="方正仿宋_GB2312" w:cs="方正仿宋_GB2312"/>
          <w:sz w:val="28"/>
          <w:szCs w:val="28"/>
        </w:rPr>
        <w:t>七、采用国际标准和国外先进标准的，说明采标程度，以及与国内外同类标准水平的对比情况</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_Toc31807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8</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lang w:val="zh-CN"/>
        </w:rPr>
        <w:fldChar w:fldCharType="end"/>
      </w:r>
    </w:p>
    <w:p w14:paraId="237323DF">
      <w:pPr>
        <w:pStyle w:val="6"/>
        <w:tabs>
          <w:tab w:val="right" w:leader="dot" w:pos="8312"/>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lang w:val="zh-CN"/>
        </w:rPr>
        <w:fldChar w:fldCharType="begin"/>
      </w:r>
      <w:r>
        <w:rPr>
          <w:rFonts w:hint="eastAsia" w:ascii="方正仿宋_GB2312" w:hAnsi="方正仿宋_GB2312" w:eastAsia="方正仿宋_GB2312" w:cs="方正仿宋_GB2312"/>
          <w:bCs/>
          <w:sz w:val="28"/>
          <w:szCs w:val="28"/>
          <w:lang w:val="zh-CN"/>
        </w:rPr>
        <w:instrText xml:space="preserve"> HYPERLINK \l _Toc11051 </w:instrText>
      </w:r>
      <w:r>
        <w:rPr>
          <w:rFonts w:hint="eastAsia" w:ascii="方正仿宋_GB2312" w:hAnsi="方正仿宋_GB2312" w:eastAsia="方正仿宋_GB2312" w:cs="方正仿宋_GB2312"/>
          <w:bCs/>
          <w:sz w:val="28"/>
          <w:szCs w:val="28"/>
          <w:lang w:val="zh-CN"/>
        </w:rPr>
        <w:fldChar w:fldCharType="separate"/>
      </w:r>
      <w:r>
        <w:rPr>
          <w:rFonts w:hint="eastAsia" w:ascii="方正仿宋_GB2312" w:hAnsi="方正仿宋_GB2312" w:eastAsia="方正仿宋_GB2312" w:cs="方正仿宋_GB2312"/>
          <w:sz w:val="28"/>
          <w:szCs w:val="28"/>
        </w:rPr>
        <w:t>八、作为推荐性标准或者强制性标准的建议及其理由</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_Toc11051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8</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lang w:val="zh-CN"/>
        </w:rPr>
        <w:fldChar w:fldCharType="end"/>
      </w:r>
    </w:p>
    <w:p w14:paraId="34ED40B2">
      <w:pPr>
        <w:pStyle w:val="6"/>
        <w:tabs>
          <w:tab w:val="right" w:leader="dot" w:pos="8312"/>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lang w:val="zh-CN"/>
        </w:rPr>
        <w:fldChar w:fldCharType="begin"/>
      </w:r>
      <w:r>
        <w:rPr>
          <w:rFonts w:hint="eastAsia" w:ascii="方正仿宋_GB2312" w:hAnsi="方正仿宋_GB2312" w:eastAsia="方正仿宋_GB2312" w:cs="方正仿宋_GB2312"/>
          <w:bCs/>
          <w:sz w:val="28"/>
          <w:szCs w:val="28"/>
          <w:lang w:val="zh-CN"/>
        </w:rPr>
        <w:instrText xml:space="preserve"> HYPERLINK \l _Toc5856 </w:instrText>
      </w:r>
      <w:r>
        <w:rPr>
          <w:rFonts w:hint="eastAsia" w:ascii="方正仿宋_GB2312" w:hAnsi="方正仿宋_GB2312" w:eastAsia="方正仿宋_GB2312" w:cs="方正仿宋_GB2312"/>
          <w:bCs/>
          <w:sz w:val="28"/>
          <w:szCs w:val="28"/>
          <w:lang w:val="zh-CN"/>
        </w:rPr>
        <w:fldChar w:fldCharType="separate"/>
      </w:r>
      <w:r>
        <w:rPr>
          <w:rFonts w:hint="eastAsia" w:ascii="方正仿宋_GB2312" w:hAnsi="方正仿宋_GB2312" w:eastAsia="方正仿宋_GB2312" w:cs="方正仿宋_GB2312"/>
          <w:sz w:val="28"/>
          <w:szCs w:val="28"/>
        </w:rPr>
        <w:t>九、贯彻标准的措施建议</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_Toc5856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8</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lang w:val="zh-CN"/>
        </w:rPr>
        <w:fldChar w:fldCharType="end"/>
      </w:r>
    </w:p>
    <w:p w14:paraId="500855F2">
      <w:pPr>
        <w:pStyle w:val="6"/>
        <w:tabs>
          <w:tab w:val="right" w:leader="dot" w:pos="8312"/>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bCs/>
          <w:sz w:val="28"/>
          <w:szCs w:val="28"/>
          <w:lang w:val="zh-CN"/>
        </w:rPr>
        <w:fldChar w:fldCharType="begin"/>
      </w:r>
      <w:r>
        <w:rPr>
          <w:rFonts w:hint="eastAsia" w:ascii="方正仿宋_GB2312" w:hAnsi="方正仿宋_GB2312" w:eastAsia="方正仿宋_GB2312" w:cs="方正仿宋_GB2312"/>
          <w:bCs/>
          <w:sz w:val="28"/>
          <w:szCs w:val="28"/>
          <w:lang w:val="zh-CN"/>
        </w:rPr>
        <w:instrText xml:space="preserve"> HYPERLINK \l _Toc12359 </w:instrText>
      </w:r>
      <w:r>
        <w:rPr>
          <w:rFonts w:hint="eastAsia" w:ascii="方正仿宋_GB2312" w:hAnsi="方正仿宋_GB2312" w:eastAsia="方正仿宋_GB2312" w:cs="方正仿宋_GB2312"/>
          <w:bCs/>
          <w:sz w:val="28"/>
          <w:szCs w:val="28"/>
          <w:lang w:val="zh-CN"/>
        </w:rPr>
        <w:fldChar w:fldCharType="separate"/>
      </w:r>
      <w:r>
        <w:rPr>
          <w:rFonts w:hint="eastAsia" w:ascii="方正仿宋_GB2312" w:hAnsi="方正仿宋_GB2312" w:eastAsia="方正仿宋_GB2312" w:cs="方正仿宋_GB2312"/>
          <w:sz w:val="28"/>
          <w:szCs w:val="28"/>
        </w:rPr>
        <w:t>十、其他应说明的事项</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_Toc12359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8</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lang w:val="zh-CN"/>
        </w:rPr>
        <w:fldChar w:fldCharType="end"/>
      </w:r>
    </w:p>
    <w:p w14:paraId="6B5AC177">
      <w:pPr>
        <w:spacing w:line="560" w:lineRule="exact"/>
        <w:rPr>
          <w:rFonts w:hint="eastAsia" w:ascii="仿宋" w:hAnsi="仿宋" w:eastAsia="仿宋" w:cs="仿宋"/>
          <w:b/>
          <w:bCs/>
          <w:sz w:val="28"/>
          <w:szCs w:val="28"/>
          <w:lang w:val="zh-CN"/>
        </w:rPr>
      </w:pPr>
      <w:r>
        <w:rPr>
          <w:rFonts w:hint="eastAsia" w:ascii="方正仿宋_GB2312" w:hAnsi="方正仿宋_GB2312" w:eastAsia="方正仿宋_GB2312" w:cs="方正仿宋_GB2312"/>
          <w:bCs/>
          <w:szCs w:val="28"/>
          <w:lang w:val="zh-CN"/>
        </w:rPr>
        <w:fldChar w:fldCharType="end"/>
      </w:r>
    </w:p>
    <w:p w14:paraId="13BCD836">
      <w:pPr>
        <w:spacing w:line="560" w:lineRule="exact"/>
        <w:rPr>
          <w:b/>
          <w:bCs/>
          <w:sz w:val="28"/>
          <w:szCs w:val="28"/>
          <w:lang w:val="zh-CN"/>
        </w:rPr>
      </w:pPr>
    </w:p>
    <w:p w14:paraId="0785F3E8">
      <w:pPr>
        <w:spacing w:line="560" w:lineRule="exact"/>
        <w:rPr>
          <w:b/>
          <w:bCs/>
          <w:sz w:val="28"/>
          <w:szCs w:val="28"/>
          <w:lang w:val="zh-CN"/>
        </w:rPr>
        <w:sectPr>
          <w:pgSz w:w="11906" w:h="16838"/>
          <w:pgMar w:top="1440" w:right="1797" w:bottom="1440" w:left="1797" w:header="851" w:footer="992" w:gutter="0"/>
          <w:pgNumType w:fmt="upperRoman" w:start="1"/>
          <w:cols w:space="425" w:num="1"/>
          <w:docGrid w:type="lines" w:linePitch="312" w:charSpace="0"/>
        </w:sectPr>
      </w:pPr>
    </w:p>
    <w:p w14:paraId="25D233C4">
      <w:pPr>
        <w:pStyle w:val="2"/>
        <w:spacing w:before="0" w:after="0" w:line="560" w:lineRule="exact"/>
        <w:ind w:firstLine="643" w:firstLineChars="200"/>
        <w:rPr>
          <w:rFonts w:ascii="仿宋_GB2312" w:eastAsia="仿宋_GB2312"/>
          <w:sz w:val="32"/>
        </w:rPr>
      </w:pPr>
      <w:bookmarkStart w:id="1" w:name="_Toc30325"/>
      <w:bookmarkStart w:id="2" w:name="_Hlk99476530"/>
      <w:r>
        <w:rPr>
          <w:rFonts w:hint="eastAsia" w:ascii="仿宋_GB2312" w:eastAsia="仿宋_GB2312"/>
          <w:sz w:val="32"/>
        </w:rPr>
        <w:t>一、任务来源，起草单位，协作单位，主要起草人</w:t>
      </w:r>
      <w:bookmarkEnd w:id="1"/>
    </w:p>
    <w:p w14:paraId="1059AACC">
      <w:pPr>
        <w:spacing w:line="560" w:lineRule="exact"/>
        <w:ind w:firstLine="640"/>
        <w:rPr>
          <w:rFonts w:hint="eastAsia" w:ascii="仿宋_GB2312" w:eastAsia="仿宋_GB2312"/>
          <w:sz w:val="32"/>
          <w:szCs w:val="32"/>
        </w:rPr>
      </w:pPr>
      <w:r>
        <w:rPr>
          <w:rFonts w:hint="default" w:ascii="仿宋_GB2312" w:eastAsia="仿宋_GB2312"/>
          <w:sz w:val="32"/>
          <w:szCs w:val="32"/>
          <w:lang w:val="en-US" w:eastAsia="zh-CN"/>
        </w:rPr>
        <w:t>在城市化进程加速与商务楼宇经济蓬勃发展的背景下，商务楼宇作为城市经济活动的核心载体，其运营管理与服务水平直接影响区域经济活力与企业发展质量。当前，我国商务楼宇在运营管理标准化、服务规范化等方面存在不足，不同楼宇间服务质量参差不齐，缺乏统一的绩效评价体系，难以满足企业对高品质办公环境的需求，也制约了行业的可持续发展。​</w:t>
      </w:r>
    </w:p>
    <w:p w14:paraId="28C69D0F">
      <w:pPr>
        <w:spacing w:line="560" w:lineRule="exact"/>
        <w:ind w:firstLine="640"/>
        <w:rPr>
          <w:rFonts w:hint="default" w:ascii="仿宋_GB2312" w:eastAsia="仿宋_GB2312"/>
          <w:sz w:val="32"/>
          <w:szCs w:val="32"/>
        </w:rPr>
      </w:pPr>
      <w:r>
        <w:rPr>
          <w:rFonts w:hint="default" w:ascii="仿宋_GB2312" w:eastAsia="仿宋_GB2312"/>
          <w:sz w:val="32"/>
          <w:szCs w:val="32"/>
          <w:lang w:val="en-US" w:eastAsia="zh-CN"/>
        </w:rPr>
        <w:t>国际上，商务楼宇运营管理已形成成熟的评价体系，注重客户体验、安全健康、低碳运营等维度的综合考量，但这些标准与我国楼宇的功能布局、管理模式及市场需求存在差异，无法直接套用。为规范行业发展、提升整体服务水平，亟需构建符合我国国情的商务楼宇运营管理与服务绩效评价标准。</w:t>
      </w:r>
    </w:p>
    <w:p w14:paraId="2B13A89C">
      <w:pPr>
        <w:spacing w:line="560" w:lineRule="exact"/>
        <w:ind w:firstLine="640"/>
        <w:rPr>
          <w:rFonts w:ascii="仿宋_GB2312" w:eastAsia="仿宋_GB2312"/>
          <w:sz w:val="32"/>
          <w:szCs w:val="32"/>
        </w:rPr>
      </w:pPr>
      <w:r>
        <w:rPr>
          <w:rFonts w:hint="eastAsia" w:ascii="仿宋_GB2312" w:eastAsia="仿宋_GB2312"/>
          <w:sz w:val="32"/>
          <w:szCs w:val="32"/>
        </w:rPr>
        <w:t>本文件起草单位：中国国际投资促进会、</w:t>
      </w:r>
      <w:r>
        <w:rPr>
          <w:rFonts w:hint="eastAsia" w:ascii="仿宋_GB2312" w:eastAsia="仿宋_GB2312"/>
          <w:sz w:val="32"/>
          <w:szCs w:val="32"/>
          <w:lang w:val="en-US" w:eastAsia="zh-CN"/>
        </w:rPr>
        <w:t>中国建筑运营管理研究院有限公司</w:t>
      </w:r>
      <w:r>
        <w:rPr>
          <w:rFonts w:hint="eastAsia" w:ascii="仿宋_GB2312" w:eastAsia="仿宋_GB2312"/>
          <w:sz w:val="32"/>
          <w:szCs w:val="32"/>
        </w:rPr>
        <w:t>、</w:t>
      </w:r>
      <w:r>
        <w:rPr>
          <w:rFonts w:hint="eastAsia" w:ascii="仿宋_GB2312" w:eastAsia="仿宋_GB2312"/>
          <w:sz w:val="32"/>
          <w:szCs w:val="32"/>
          <w:lang w:val="en-US" w:eastAsia="zh-CN"/>
        </w:rPr>
        <w:t>中信商业管理有限公司</w:t>
      </w:r>
      <w:r>
        <w:rPr>
          <w:rFonts w:hint="eastAsia" w:ascii="仿宋_GB2312" w:eastAsia="仿宋_GB2312"/>
          <w:sz w:val="32"/>
          <w:szCs w:val="32"/>
        </w:rPr>
        <w:t>、</w:t>
      </w:r>
      <w:r>
        <w:rPr>
          <w:rFonts w:hint="eastAsia" w:ascii="仿宋_GB2312" w:eastAsia="仿宋_GB2312"/>
          <w:sz w:val="32"/>
          <w:szCs w:val="32"/>
          <w:lang w:val="en-US" w:eastAsia="zh-CN"/>
        </w:rPr>
        <w:t>华润万象生活有限公司、中信和业资产管理有限公司、华贸集团、智园空间管理有限公司、嘉里建设有限公司、兆泰集团、北京发展大厦等企业</w:t>
      </w:r>
      <w:r>
        <w:rPr>
          <w:rFonts w:hint="eastAsia" w:ascii="仿宋_GB2312" w:eastAsia="仿宋_GB2312"/>
          <w:sz w:val="32"/>
          <w:szCs w:val="32"/>
        </w:rPr>
        <w:t>（待补充）。</w:t>
      </w:r>
    </w:p>
    <w:p w14:paraId="2C3844D6">
      <w:pPr>
        <w:spacing w:line="560" w:lineRule="exact"/>
        <w:ind w:firstLine="640"/>
        <w:rPr>
          <w:rFonts w:hint="eastAsia" w:ascii="仿宋_GB2312" w:eastAsia="仿宋_GB2312"/>
          <w:sz w:val="32"/>
          <w:szCs w:val="32"/>
        </w:rPr>
      </w:pPr>
      <w:r>
        <w:rPr>
          <w:rFonts w:hint="eastAsia" w:ascii="仿宋_GB2312" w:eastAsia="仿宋_GB2312"/>
          <w:sz w:val="32"/>
          <w:szCs w:val="32"/>
        </w:rPr>
        <w:t>本文件主要起草人：周晓燕、</w:t>
      </w:r>
      <w:r>
        <w:rPr>
          <w:rFonts w:hint="eastAsia" w:ascii="仿宋_GB2312" w:eastAsia="仿宋_GB2312"/>
          <w:sz w:val="32"/>
          <w:szCs w:val="32"/>
          <w:lang w:val="en-US" w:eastAsia="zh-CN"/>
        </w:rPr>
        <w:t>廖亮、刘勇、齐燕妮、金永、张丽文、张丽君</w:t>
      </w:r>
      <w:r>
        <w:rPr>
          <w:rFonts w:hint="eastAsia" w:ascii="仿宋_GB2312" w:eastAsia="仿宋_GB2312"/>
          <w:sz w:val="32"/>
          <w:szCs w:val="32"/>
        </w:rPr>
        <w:t>（待补充）</w:t>
      </w:r>
    </w:p>
    <w:p w14:paraId="05B58942">
      <w:pPr>
        <w:pStyle w:val="2"/>
        <w:spacing w:before="0" w:after="0" w:line="560" w:lineRule="exact"/>
        <w:ind w:firstLine="643" w:firstLineChars="200"/>
        <w:rPr>
          <w:rFonts w:ascii="仿宋_GB2312" w:eastAsia="仿宋_GB2312"/>
          <w:sz w:val="32"/>
        </w:rPr>
      </w:pPr>
      <w:bookmarkStart w:id="3" w:name="_Toc30233"/>
      <w:r>
        <w:rPr>
          <w:rFonts w:hint="eastAsia" w:ascii="仿宋_GB2312" w:eastAsia="仿宋_GB2312"/>
          <w:sz w:val="32"/>
        </w:rPr>
        <w:t>二、制定标准的必要性和意义</w:t>
      </w:r>
      <w:bookmarkEnd w:id="3"/>
    </w:p>
    <w:p w14:paraId="7F6C5F2F">
      <w:pPr>
        <w:spacing w:line="560" w:lineRule="exact"/>
        <w:ind w:firstLine="640" w:firstLineChars="200"/>
        <w:rPr>
          <w:rFonts w:hint="eastAsia" w:ascii="仿宋_GB2312" w:eastAsia="仿宋_GB2312"/>
          <w:sz w:val="32"/>
        </w:rPr>
      </w:pPr>
      <w:r>
        <w:rPr>
          <w:rFonts w:hint="default" w:ascii="仿宋_GB2312" w:eastAsia="仿宋_GB2312"/>
          <w:sz w:val="32"/>
          <w:lang w:val="en-US" w:eastAsia="zh-CN"/>
        </w:rPr>
        <w:t>（一）规范行业发展秩序​</w:t>
      </w:r>
    </w:p>
    <w:p w14:paraId="34E79ED2">
      <w:pPr>
        <w:spacing w:line="560" w:lineRule="exact"/>
        <w:ind w:firstLine="640" w:firstLineChars="200"/>
        <w:rPr>
          <w:rFonts w:hint="default" w:ascii="仿宋_GB2312" w:eastAsia="仿宋_GB2312"/>
          <w:sz w:val="32"/>
        </w:rPr>
      </w:pPr>
      <w:r>
        <w:rPr>
          <w:rFonts w:hint="default" w:ascii="仿宋_GB2312" w:eastAsia="仿宋_GB2312"/>
          <w:sz w:val="32"/>
          <w:lang w:val="en-US" w:eastAsia="zh-CN"/>
        </w:rPr>
        <w:t>当前商务楼宇运营管理领域存在服务流程不统一、评价指标模糊等问题，导致市场竞争无序。该标准通过明确运营管理与服务的核心要素及评价体系，为行业提供统一的行为准则，推动楼宇管理从 “经验型” 向 “标准化” 转变，促进公平竞争与行业规范化发展。​</w:t>
      </w:r>
    </w:p>
    <w:p w14:paraId="68AA39F2">
      <w:pPr>
        <w:spacing w:line="560" w:lineRule="exact"/>
        <w:ind w:firstLine="640" w:firstLineChars="200"/>
        <w:rPr>
          <w:rFonts w:hint="default" w:ascii="仿宋_GB2312" w:eastAsia="仿宋_GB2312"/>
          <w:sz w:val="32"/>
        </w:rPr>
      </w:pPr>
      <w:r>
        <w:rPr>
          <w:rFonts w:hint="default" w:ascii="仿宋_GB2312" w:eastAsia="仿宋_GB2312"/>
          <w:sz w:val="32"/>
          <w:lang w:val="en-US" w:eastAsia="zh-CN"/>
        </w:rPr>
        <w:t>（二）提升服务质量与客户满意度​</w:t>
      </w:r>
    </w:p>
    <w:p w14:paraId="08665DA8">
      <w:pPr>
        <w:spacing w:line="560" w:lineRule="exact"/>
        <w:ind w:firstLine="640" w:firstLineChars="200"/>
        <w:rPr>
          <w:rFonts w:hint="default" w:ascii="仿宋_GB2312" w:eastAsia="仿宋_GB2312"/>
          <w:sz w:val="32"/>
        </w:rPr>
      </w:pPr>
      <w:r>
        <w:rPr>
          <w:rFonts w:hint="default" w:ascii="仿宋_GB2312" w:eastAsia="仿宋_GB2312"/>
          <w:sz w:val="32"/>
          <w:lang w:val="en-US" w:eastAsia="zh-CN"/>
        </w:rPr>
        <w:t>标准聚焦客户需求，从空间设施、安全健康、客户服务等维度设定具体要求，引导楼宇运营方优化服务流程、完善配套设施、提升服务响应效率，进而增强客户体验与满意度，助力楼宇吸引优质企业入驻，提升商业价值。​</w:t>
      </w:r>
    </w:p>
    <w:p w14:paraId="0A1B2D63">
      <w:pPr>
        <w:spacing w:line="560" w:lineRule="exact"/>
        <w:ind w:firstLine="640" w:firstLineChars="200"/>
        <w:rPr>
          <w:rFonts w:hint="default" w:ascii="仿宋_GB2312" w:eastAsia="仿宋_GB2312"/>
          <w:sz w:val="32"/>
        </w:rPr>
      </w:pPr>
      <w:r>
        <w:rPr>
          <w:rFonts w:hint="default" w:ascii="仿宋_GB2312" w:eastAsia="仿宋_GB2312"/>
          <w:sz w:val="32"/>
          <w:lang w:val="en-US" w:eastAsia="zh-CN"/>
        </w:rPr>
        <w:t>（三）推动可持续与韧性发展​</w:t>
      </w:r>
    </w:p>
    <w:p w14:paraId="0DCA5CFC">
      <w:pPr>
        <w:spacing w:line="560" w:lineRule="exact"/>
        <w:ind w:firstLine="640" w:firstLineChars="200"/>
        <w:rPr>
          <w:rFonts w:hint="default" w:ascii="仿宋_GB2312" w:eastAsia="仿宋_GB2312"/>
          <w:sz w:val="32"/>
        </w:rPr>
      </w:pPr>
      <w:r>
        <w:rPr>
          <w:rFonts w:hint="default" w:ascii="仿宋_GB2312" w:eastAsia="仿宋_GB2312"/>
          <w:sz w:val="32"/>
          <w:lang w:val="en-US" w:eastAsia="zh-CN"/>
        </w:rPr>
        <w:t>标准融入低碳运营、资源保护、风险防控等理念，要求楼宇在能源管理、废弃物处理、应急响应等方面采取科学措施，推动楼宇实现绿色低碳转型，增强应对自然灾害、公共卫生事件等突发事件的韧性，符合国家可持续发展战略。​</w:t>
      </w:r>
    </w:p>
    <w:p w14:paraId="2706D93B">
      <w:pPr>
        <w:spacing w:line="560" w:lineRule="exact"/>
        <w:ind w:firstLine="640" w:firstLineChars="200"/>
        <w:rPr>
          <w:rFonts w:hint="default" w:ascii="仿宋_GB2312" w:eastAsia="仿宋_GB2312"/>
          <w:sz w:val="32"/>
        </w:rPr>
      </w:pPr>
      <w:r>
        <w:rPr>
          <w:rFonts w:hint="default" w:ascii="仿宋_GB2312" w:eastAsia="仿宋_GB2312"/>
          <w:sz w:val="32"/>
          <w:lang w:val="en-US" w:eastAsia="zh-CN"/>
        </w:rPr>
        <w:t>（四）赋能产业链协同升级​</w:t>
      </w:r>
    </w:p>
    <w:p w14:paraId="131C468B">
      <w:pPr>
        <w:spacing w:line="560" w:lineRule="exact"/>
        <w:ind w:firstLine="640" w:firstLineChars="200"/>
        <w:rPr>
          <w:rFonts w:hint="default" w:ascii="仿宋_GB2312" w:eastAsia="仿宋_GB2312"/>
          <w:sz w:val="32"/>
        </w:rPr>
      </w:pPr>
      <w:r>
        <w:rPr>
          <w:rFonts w:hint="default" w:ascii="仿宋_GB2312" w:eastAsia="仿宋_GB2312"/>
          <w:sz w:val="32"/>
          <w:lang w:val="en-US" w:eastAsia="zh-CN"/>
        </w:rPr>
        <w:t>商务楼宇运营涉及物业、安保、能源、餐饮等多个产业链环节。标准的实施将带动上下游企业围绕服务质量提升开展技术创新与服务优化，形成协同发展的产业生态，提升产业链整体效能。</w:t>
      </w:r>
    </w:p>
    <w:p w14:paraId="26739ADF">
      <w:pPr>
        <w:spacing w:line="560" w:lineRule="exact"/>
        <w:ind w:firstLine="640" w:firstLineChars="200"/>
        <w:rPr>
          <w:rFonts w:hint="default" w:ascii="仿宋_GB2312" w:eastAsia="仿宋_GB2312"/>
          <w:sz w:val="32"/>
        </w:rPr>
      </w:pPr>
    </w:p>
    <w:p w14:paraId="6D935960">
      <w:pPr>
        <w:pStyle w:val="2"/>
        <w:spacing w:before="0" w:after="0" w:line="560" w:lineRule="exact"/>
        <w:ind w:firstLine="643" w:firstLineChars="200"/>
        <w:rPr>
          <w:rFonts w:ascii="仿宋_GB2312" w:eastAsia="仿宋_GB2312"/>
          <w:sz w:val="32"/>
        </w:rPr>
      </w:pPr>
      <w:bookmarkStart w:id="4" w:name="_Toc8114"/>
      <w:r>
        <w:rPr>
          <w:rFonts w:hint="eastAsia" w:ascii="仿宋_GB2312" w:eastAsia="仿宋_GB2312"/>
          <w:sz w:val="32"/>
        </w:rPr>
        <w:t>三、主要工作过程</w:t>
      </w:r>
      <w:bookmarkEnd w:id="4"/>
    </w:p>
    <w:p w14:paraId="48D8B2C2">
      <w:pPr>
        <w:spacing w:line="560" w:lineRule="exact"/>
        <w:ind w:firstLine="640" w:firstLineChars="200"/>
        <w:outlineLvl w:val="1"/>
        <w:rPr>
          <w:rFonts w:ascii="仿宋_GB2312" w:eastAsia="仿宋_GB2312"/>
          <w:sz w:val="32"/>
        </w:rPr>
      </w:pPr>
      <w:bookmarkStart w:id="5" w:name="_Toc22029"/>
      <w:r>
        <w:rPr>
          <w:rFonts w:hint="eastAsia" w:ascii="仿宋_GB2312" w:eastAsia="仿宋_GB2312"/>
          <w:sz w:val="32"/>
        </w:rPr>
        <w:t>（一）前期研究阶段</w:t>
      </w:r>
      <w:bookmarkEnd w:id="5"/>
    </w:p>
    <w:p w14:paraId="52F71A92">
      <w:pPr>
        <w:spacing w:line="560" w:lineRule="exact"/>
        <w:ind w:firstLine="640" w:firstLineChars="200"/>
        <w:rPr>
          <w:rFonts w:hint="eastAsia" w:ascii="仿宋_GB2312" w:eastAsia="仿宋_GB2312"/>
          <w:sz w:val="32"/>
        </w:rPr>
      </w:pPr>
      <w:bookmarkStart w:id="6" w:name="_Toc21369"/>
      <w:r>
        <w:rPr>
          <w:rFonts w:hint="eastAsia" w:ascii="仿宋_GB2312" w:eastAsia="仿宋_GB2312"/>
          <w:sz w:val="32"/>
        </w:rPr>
        <w:t>由中国国际投资促进会牵头，组建涵盖楼宇运营专家、物业管理资深从业者、标准化研究人员等 50 余人的跨领域团队。通过实地调研全国 30 余个重点城市的典型商务楼宇，收集运营管理案例、服务数据及客户反馈，梳理行业痛点与需求，为标准框架设计奠定基础。</w:t>
      </w:r>
    </w:p>
    <w:p w14:paraId="2D487A57">
      <w:pPr>
        <w:spacing w:line="560" w:lineRule="exact"/>
        <w:ind w:firstLine="640" w:firstLineChars="200"/>
        <w:outlineLvl w:val="1"/>
        <w:rPr>
          <w:rFonts w:ascii="仿宋_GB2312" w:eastAsia="仿宋_GB2312"/>
          <w:sz w:val="32"/>
        </w:rPr>
      </w:pPr>
      <w:r>
        <w:rPr>
          <w:rFonts w:hint="eastAsia" w:ascii="仿宋_GB2312" w:eastAsia="仿宋_GB2312"/>
          <w:sz w:val="32"/>
        </w:rPr>
        <w:t>（二）标准立项</w:t>
      </w:r>
      <w:bookmarkEnd w:id="6"/>
    </w:p>
    <w:p w14:paraId="508A3598">
      <w:pPr>
        <w:spacing w:line="560" w:lineRule="exact"/>
        <w:ind w:firstLine="640" w:firstLineChars="200"/>
        <w:rPr>
          <w:rFonts w:hint="eastAsia" w:ascii="仿宋_GB2312" w:eastAsia="仿宋_GB2312"/>
          <w:sz w:val="32"/>
        </w:rPr>
      </w:pPr>
      <w:r>
        <w:rPr>
          <w:rFonts w:hint="eastAsia" w:ascii="仿宋_GB2312" w:eastAsia="仿宋_GB2312"/>
          <w:sz w:val="32"/>
        </w:rPr>
        <w:t>202</w:t>
      </w:r>
      <w:r>
        <w:rPr>
          <w:rFonts w:hint="eastAsia" w:ascii="仿宋_GB2312" w:eastAsia="仿宋_GB2312"/>
          <w:sz w:val="32"/>
          <w:lang w:val="en-US" w:eastAsia="zh-CN"/>
        </w:rPr>
        <w:t>5</w:t>
      </w:r>
      <w:r>
        <w:rPr>
          <w:rFonts w:hint="eastAsia" w:ascii="仿宋_GB2312" w:eastAsia="仿宋_GB2312"/>
          <w:sz w:val="32"/>
        </w:rPr>
        <w:t>年</w:t>
      </w:r>
      <w:r>
        <w:rPr>
          <w:rFonts w:hint="eastAsia" w:ascii="仿宋_GB2312" w:eastAsia="仿宋_GB2312"/>
          <w:sz w:val="32"/>
          <w:lang w:val="en-US" w:eastAsia="zh-CN"/>
        </w:rPr>
        <w:t>3</w:t>
      </w:r>
      <w:r>
        <w:rPr>
          <w:rFonts w:hint="eastAsia" w:ascii="仿宋_GB2312" w:eastAsia="仿宋_GB2312"/>
          <w:sz w:val="32"/>
        </w:rPr>
        <w:t>月18日，中国国际投资促进会组织专家评审会，审议通过《商务楼宇运营管理与服务绩效评价》团体标准立项，明确标准的核心定位与适用范围。</w:t>
      </w:r>
    </w:p>
    <w:p w14:paraId="6136E7D3">
      <w:pPr>
        <w:spacing w:line="560" w:lineRule="exact"/>
        <w:ind w:firstLine="640" w:firstLineChars="200"/>
        <w:outlineLvl w:val="1"/>
        <w:rPr>
          <w:rFonts w:ascii="仿宋_GB2312" w:eastAsia="仿宋_GB2312"/>
          <w:sz w:val="32"/>
        </w:rPr>
      </w:pPr>
      <w:bookmarkStart w:id="7" w:name="_Toc3049"/>
      <w:r>
        <w:rPr>
          <w:rFonts w:hint="eastAsia" w:ascii="仿宋_GB2312" w:eastAsia="仿宋_GB2312"/>
          <w:sz w:val="32"/>
        </w:rPr>
        <w:t>（三）标准草案的形成</w:t>
      </w:r>
      <w:bookmarkEnd w:id="7"/>
    </w:p>
    <w:p w14:paraId="1268812B">
      <w:pPr>
        <w:spacing w:line="560" w:lineRule="exact"/>
        <w:ind w:firstLine="640" w:firstLineChars="200"/>
        <w:rPr>
          <w:rFonts w:ascii="仿宋_GB2312" w:eastAsia="仿宋_GB2312"/>
          <w:sz w:val="32"/>
        </w:rPr>
      </w:pPr>
      <w:r>
        <w:rPr>
          <w:rFonts w:hint="eastAsia" w:ascii="仿宋_GB2312" w:eastAsia="仿宋_GB2312"/>
          <w:sz w:val="32"/>
        </w:rPr>
        <w:t>标准立项后，中国国际投资促进会组建了工作组，开展标准草案的撰写工作，由于之前课题研究基础较好，20</w:t>
      </w:r>
      <w:r>
        <w:rPr>
          <w:rFonts w:ascii="仿宋_GB2312" w:eastAsia="仿宋_GB2312"/>
          <w:sz w:val="32"/>
        </w:rPr>
        <w:t>2</w:t>
      </w:r>
      <w:r>
        <w:rPr>
          <w:rFonts w:hint="eastAsia" w:ascii="仿宋_GB2312" w:eastAsia="仿宋_GB2312"/>
          <w:sz w:val="32"/>
          <w:lang w:val="en-US" w:eastAsia="zh-CN"/>
        </w:rPr>
        <w:t>5</w:t>
      </w:r>
      <w:r>
        <w:rPr>
          <w:rFonts w:hint="eastAsia" w:ascii="仿宋_GB2312" w:eastAsia="仿宋_GB2312"/>
          <w:sz w:val="32"/>
        </w:rPr>
        <w:t>年</w:t>
      </w:r>
      <w:r>
        <w:rPr>
          <w:rFonts w:hint="eastAsia" w:ascii="仿宋_GB2312" w:eastAsia="仿宋_GB2312"/>
          <w:sz w:val="32"/>
          <w:lang w:val="en-US" w:eastAsia="zh-CN"/>
        </w:rPr>
        <w:t>6</w:t>
      </w:r>
      <w:r>
        <w:rPr>
          <w:rFonts w:hint="eastAsia" w:ascii="仿宋_GB2312" w:eastAsia="仿宋_GB2312"/>
          <w:sz w:val="32"/>
        </w:rPr>
        <w:t>月中旬，经过内部讨论后的标准草案形成。</w:t>
      </w:r>
    </w:p>
    <w:p w14:paraId="4E2FF73B">
      <w:pPr>
        <w:pStyle w:val="2"/>
        <w:spacing w:before="0" w:after="0" w:line="560" w:lineRule="exact"/>
        <w:ind w:firstLine="643" w:firstLineChars="200"/>
        <w:rPr>
          <w:rFonts w:ascii="仿宋_GB2312" w:eastAsia="仿宋_GB2312"/>
          <w:sz w:val="32"/>
        </w:rPr>
      </w:pPr>
      <w:bookmarkStart w:id="8" w:name="_Toc23023"/>
      <w:r>
        <w:rPr>
          <w:rFonts w:hint="eastAsia" w:ascii="仿宋_GB2312" w:eastAsia="仿宋_GB2312"/>
          <w:sz w:val="32"/>
        </w:rPr>
        <w:t>四、制定标准的原则和依据，与现行法律、法规、标准的关系</w:t>
      </w:r>
      <w:bookmarkEnd w:id="8"/>
    </w:p>
    <w:p w14:paraId="212C7D82">
      <w:pPr>
        <w:spacing w:line="560" w:lineRule="exact"/>
        <w:ind w:firstLine="640" w:firstLineChars="200"/>
        <w:outlineLvl w:val="1"/>
        <w:rPr>
          <w:rFonts w:ascii="仿宋_GB2312" w:eastAsia="仿宋_GB2312"/>
          <w:sz w:val="32"/>
        </w:rPr>
      </w:pPr>
      <w:bookmarkStart w:id="9" w:name="_Toc11661"/>
      <w:r>
        <w:rPr>
          <w:rFonts w:hint="eastAsia" w:ascii="仿宋_GB2312" w:eastAsia="仿宋_GB2312"/>
          <w:sz w:val="32"/>
        </w:rPr>
        <w:t>（一）</w:t>
      </w:r>
      <w:r>
        <w:rPr>
          <w:rFonts w:ascii="仿宋_GB2312" w:eastAsia="仿宋_GB2312"/>
          <w:sz w:val="32"/>
        </w:rPr>
        <w:t>标准制定的原则</w:t>
      </w:r>
      <w:bookmarkEnd w:id="9"/>
    </w:p>
    <w:p w14:paraId="0A3973C1">
      <w:pPr>
        <w:spacing w:line="560" w:lineRule="exact"/>
        <w:ind w:firstLine="640" w:firstLineChars="200"/>
        <w:rPr>
          <w:rFonts w:hint="eastAsia" w:ascii="仿宋_GB2312" w:eastAsia="仿宋_GB2312"/>
          <w:sz w:val="32"/>
        </w:rPr>
      </w:pPr>
      <w:r>
        <w:rPr>
          <w:rFonts w:hint="eastAsia" w:ascii="仿宋_GB2312" w:eastAsia="仿宋_GB2312"/>
          <w:sz w:val="32"/>
        </w:rPr>
        <w:t>适用性</w:t>
      </w:r>
      <w:r>
        <w:rPr>
          <w:rFonts w:hint="default" w:ascii="仿宋_GB2312" w:eastAsia="仿宋_GB2312"/>
          <w:sz w:val="32"/>
        </w:rPr>
        <w:t>：立足我国商务楼宇实际运营场景，确保条款通俗易懂、可操作，兼顾不同规模、类型楼宇的需求。​</w:t>
      </w:r>
    </w:p>
    <w:p w14:paraId="6CCB04B7">
      <w:pPr>
        <w:spacing w:line="560" w:lineRule="exact"/>
        <w:ind w:firstLine="640" w:firstLineChars="200"/>
        <w:rPr>
          <w:rFonts w:hint="eastAsia" w:ascii="仿宋_GB2312" w:eastAsia="仿宋_GB2312"/>
          <w:sz w:val="32"/>
        </w:rPr>
      </w:pPr>
      <w:r>
        <w:rPr>
          <w:rFonts w:hint="default" w:ascii="仿宋_GB2312" w:eastAsia="仿宋_GB2312"/>
          <w:sz w:val="32"/>
        </w:rPr>
        <w:t>先进性：融合国际先进理念，纳入智慧化管理、低碳运营、客户体验优化等前沿内容，引导行业向高品质方向发展。​</w:t>
      </w:r>
    </w:p>
    <w:p w14:paraId="4D0B0C71">
      <w:pPr>
        <w:spacing w:line="560" w:lineRule="exact"/>
        <w:ind w:firstLine="640" w:firstLineChars="200"/>
        <w:rPr>
          <w:rFonts w:hint="eastAsia" w:ascii="仿宋_GB2312" w:eastAsia="仿宋_GB2312"/>
          <w:sz w:val="32"/>
        </w:rPr>
      </w:pPr>
      <w:r>
        <w:rPr>
          <w:rFonts w:hint="default" w:ascii="仿宋_GB2312" w:eastAsia="仿宋_GB2312"/>
          <w:sz w:val="32"/>
        </w:rPr>
        <w:t>统一性：对同类服务要求与评价指标进行整合，避免重复与冲突，确保标准体系的系统性与协调性。</w:t>
      </w:r>
    </w:p>
    <w:p w14:paraId="456A5CB7">
      <w:pPr>
        <w:spacing w:line="560" w:lineRule="exact"/>
        <w:ind w:firstLine="640" w:firstLineChars="200"/>
        <w:rPr>
          <w:rFonts w:ascii="仿宋_GB2312" w:eastAsia="仿宋_GB2312"/>
          <w:sz w:val="32"/>
        </w:rPr>
      </w:pPr>
    </w:p>
    <w:p w14:paraId="1C73B64B">
      <w:pPr>
        <w:spacing w:line="560" w:lineRule="exact"/>
        <w:ind w:firstLine="640" w:firstLineChars="200"/>
        <w:outlineLvl w:val="1"/>
        <w:rPr>
          <w:rFonts w:ascii="仿宋_GB2312" w:eastAsia="仿宋_GB2312"/>
          <w:sz w:val="32"/>
        </w:rPr>
      </w:pPr>
      <w:bookmarkStart w:id="10" w:name="_Toc20115"/>
      <w:r>
        <w:rPr>
          <w:rFonts w:hint="eastAsia" w:ascii="仿宋_GB2312" w:eastAsia="仿宋_GB2312"/>
          <w:sz w:val="32"/>
        </w:rPr>
        <w:t>（二）标准制定的依据</w:t>
      </w:r>
      <w:bookmarkEnd w:id="10"/>
    </w:p>
    <w:p w14:paraId="1E251E9C">
      <w:pPr>
        <w:spacing w:line="560" w:lineRule="exact"/>
        <w:ind w:firstLine="640" w:firstLineChars="200"/>
        <w:rPr>
          <w:rFonts w:ascii="仿宋_GB2312" w:eastAsia="仿宋_GB2312"/>
          <w:sz w:val="32"/>
        </w:rPr>
      </w:pPr>
      <w:r>
        <w:rPr>
          <w:rFonts w:hint="eastAsia" w:ascii="仿宋_GB2312" w:eastAsia="仿宋_GB2312"/>
          <w:sz w:val="32"/>
        </w:rPr>
        <w:t>1.标准制定过程中主要依据的法律法规标准如下：</w:t>
      </w:r>
    </w:p>
    <w:p w14:paraId="11140577">
      <w:pPr>
        <w:spacing w:line="560" w:lineRule="exact"/>
        <w:ind w:firstLine="640" w:firstLineChars="200"/>
        <w:rPr>
          <w:rFonts w:ascii="仿宋_GB2312" w:eastAsia="仿宋_GB2312"/>
          <w:sz w:val="32"/>
        </w:rPr>
      </w:pPr>
      <w:r>
        <w:rPr>
          <w:rFonts w:hint="eastAsia" w:ascii="仿宋_GB2312" w:eastAsia="仿宋_GB2312"/>
          <w:sz w:val="32"/>
        </w:rPr>
        <w:t>《标准化工作导则 第1部分 标准化文件的结构和起草规则》（</w:t>
      </w:r>
      <w:r>
        <w:rPr>
          <w:rFonts w:ascii="仿宋_GB2312" w:eastAsia="仿宋_GB2312"/>
          <w:sz w:val="32"/>
        </w:rPr>
        <w:t>GB</w:t>
      </w:r>
      <w:r>
        <w:rPr>
          <w:rFonts w:hint="eastAsia" w:ascii="仿宋_GB2312" w:eastAsia="仿宋_GB2312"/>
          <w:sz w:val="32"/>
        </w:rPr>
        <w:t>/</w:t>
      </w:r>
      <w:r>
        <w:rPr>
          <w:rFonts w:ascii="仿宋_GB2312" w:eastAsia="仿宋_GB2312"/>
          <w:sz w:val="32"/>
        </w:rPr>
        <w:t>T</w:t>
      </w:r>
      <w:r>
        <w:rPr>
          <w:rFonts w:hint="eastAsia" w:ascii="仿宋_GB2312" w:eastAsia="仿宋_GB2312"/>
          <w:sz w:val="32"/>
        </w:rPr>
        <w:t xml:space="preserve"> 1.1-</w:t>
      </w:r>
      <w:r>
        <w:rPr>
          <w:rFonts w:ascii="仿宋_GB2312" w:eastAsia="仿宋_GB2312"/>
          <w:sz w:val="32"/>
        </w:rPr>
        <w:t>2020</w:t>
      </w:r>
      <w:r>
        <w:rPr>
          <w:rFonts w:hint="eastAsia" w:ascii="仿宋_GB2312" w:eastAsia="仿宋_GB2312"/>
          <w:sz w:val="32"/>
        </w:rPr>
        <w:t>）；</w:t>
      </w:r>
    </w:p>
    <w:p w14:paraId="482261F3">
      <w:pPr>
        <w:spacing w:line="560" w:lineRule="exact"/>
        <w:ind w:firstLine="640" w:firstLineChars="200"/>
        <w:rPr>
          <w:rFonts w:hint="eastAsia" w:ascii="仿宋_GB2312" w:eastAsia="仿宋_GB2312"/>
          <w:sz w:val="32"/>
        </w:rPr>
      </w:pPr>
      <w:r>
        <w:rPr>
          <w:rFonts w:hint="eastAsia" w:ascii="仿宋_GB2312" w:eastAsia="仿宋_GB2312"/>
          <w:sz w:val="32"/>
        </w:rPr>
        <w:t>《团体标准 第1部分 良好行为指南》（GB/T 200004.1-2016）；</w:t>
      </w:r>
    </w:p>
    <w:p w14:paraId="3E8A9142">
      <w:pPr>
        <w:spacing w:line="560" w:lineRule="exact"/>
        <w:ind w:firstLine="640" w:firstLineChars="200"/>
        <w:rPr>
          <w:rFonts w:hint="eastAsia" w:ascii="仿宋_GB2312" w:eastAsia="仿宋_GB2312"/>
          <w:sz w:val="32"/>
        </w:rPr>
      </w:pPr>
    </w:p>
    <w:p w14:paraId="6B257036">
      <w:pPr>
        <w:numPr>
          <w:ilvl w:val="0"/>
          <w:numId w:val="1"/>
        </w:numPr>
        <w:spacing w:line="560" w:lineRule="exact"/>
        <w:ind w:firstLine="640" w:firstLineChars="200"/>
        <w:outlineLvl w:val="1"/>
        <w:rPr>
          <w:rFonts w:hint="eastAsia" w:ascii="仿宋_GB2312" w:eastAsia="仿宋_GB2312"/>
          <w:sz w:val="32"/>
          <w:lang w:eastAsia="zh-CN"/>
        </w:rPr>
      </w:pPr>
      <w:bookmarkStart w:id="11" w:name="_Toc22804"/>
      <w:r>
        <w:rPr>
          <w:rFonts w:hint="eastAsia" w:ascii="仿宋_GB2312" w:eastAsia="仿宋_GB2312"/>
          <w:sz w:val="32"/>
        </w:rPr>
        <w:t>与现行法律、法规、标准的关系</w:t>
      </w:r>
      <w:bookmarkEnd w:id="11"/>
      <w:bookmarkStart w:id="12" w:name="_Toc27971"/>
      <w:r>
        <w:rPr>
          <w:rFonts w:ascii="仿宋_GB2312" w:hAnsi="Times New Roman" w:eastAsia="仿宋_GB2312" w:cs="Times New Roman"/>
          <w:b w:val="0"/>
          <w:bCs w:val="0"/>
          <w:kern w:val="2"/>
          <w:sz w:val="32"/>
          <w:szCs w:val="20"/>
          <w:lang w:val="en-US" w:eastAsia="zh-CN" w:bidi="ar-SA"/>
          <w14:ligatures w14:val="standardContextual"/>
        </w:rPr>
        <w:t>本标准与现行国家标准、行业标准（如《办公建筑设计标准》JGJ/T67-2019、《建筑节能与可再生能源利用通用规范》GB 55015-2021 等）协调一致，无冲突，进一步细化了运营管理与服务绩效的评价要求，形成补充与完善。</w:t>
      </w:r>
      <w:r>
        <w:rPr>
          <w:rFonts w:hint="eastAsia" w:ascii="仿宋_GB2312" w:eastAsia="仿宋_GB2312"/>
          <w:sz w:val="32"/>
        </w:rPr>
        <w:t>五、主要条款的说明，主要技术指标、参数、实验验证的论述</w:t>
      </w:r>
      <w:bookmarkEnd w:id="12"/>
      <w:r>
        <w:rPr>
          <w:rFonts w:hint="eastAsia" w:ascii="仿宋_GB2312" w:eastAsia="仿宋_GB2312"/>
          <w:sz w:val="32"/>
          <w:lang w:eastAsia="zh-CN"/>
        </w:rPr>
        <w:t>。</w:t>
      </w:r>
      <w:bookmarkStart w:id="13" w:name="_Toc22611"/>
    </w:p>
    <w:p w14:paraId="70E0CBA4">
      <w:pPr>
        <w:numPr>
          <w:ilvl w:val="0"/>
          <w:numId w:val="1"/>
        </w:numPr>
        <w:spacing w:line="560" w:lineRule="exact"/>
        <w:ind w:firstLine="640" w:firstLineChars="200"/>
        <w:outlineLvl w:val="1"/>
        <w:rPr>
          <w:rFonts w:hint="default" w:ascii="仿宋_GB2312" w:hAnsi="Times New Roman" w:eastAsia="仿宋_GB2312" w:cs="Times New Roman"/>
          <w:b w:val="0"/>
          <w:bCs w:val="0"/>
          <w:kern w:val="2"/>
          <w:sz w:val="32"/>
          <w:szCs w:val="20"/>
          <w:lang w:val="en-US" w:eastAsia="zh-CN" w:bidi="ar-SA"/>
          <w14:ligatures w14:val="standardContextual"/>
        </w:rPr>
      </w:pPr>
      <w:r>
        <w:rPr>
          <w:rFonts w:hint="default" w:ascii="仿宋_GB2312" w:hAnsi="Times New Roman" w:eastAsia="仿宋_GB2312" w:cs="Times New Roman"/>
          <w:b w:val="0"/>
          <w:bCs w:val="0"/>
          <w:kern w:val="2"/>
          <w:sz w:val="32"/>
          <w:szCs w:val="20"/>
          <w:lang w:val="en-US" w:eastAsia="zh-CN" w:bidi="ar-SA"/>
          <w14:ligatures w14:val="standardContextual"/>
        </w:rPr>
        <w:t>标准分为范围、规范性引用文件、术语和定义、运营计划与策略、楼宇空间与服务设施、客户服务、安全健康、运行维护、低碳运行、环境维护、韧性管理、员工发展、创新等章节，核心内容如下：​</w:t>
      </w:r>
    </w:p>
    <w:p w14:paraId="2646DFC4">
      <w:pPr>
        <w:numPr>
          <w:ilvl w:val="0"/>
          <w:numId w:val="2"/>
        </w:numPr>
        <w:spacing w:line="560" w:lineRule="exact"/>
        <w:outlineLvl w:val="1"/>
        <w:rPr>
          <w:rFonts w:hint="default" w:ascii="仿宋_GB2312" w:hAnsi="Times New Roman" w:eastAsia="仿宋_GB2312" w:cs="Times New Roman"/>
          <w:b w:val="0"/>
          <w:bCs w:val="0"/>
          <w:kern w:val="2"/>
          <w:sz w:val="32"/>
          <w:szCs w:val="20"/>
          <w:lang w:val="en-US" w:eastAsia="zh-CN" w:bidi="ar-SA"/>
          <w14:ligatures w14:val="standardContextual"/>
        </w:rPr>
      </w:pPr>
      <w:r>
        <w:rPr>
          <w:rFonts w:hint="default" w:ascii="仿宋_GB2312" w:hAnsi="Times New Roman" w:eastAsia="仿宋_GB2312" w:cs="Times New Roman"/>
          <w:b w:val="0"/>
          <w:bCs w:val="0"/>
          <w:kern w:val="2"/>
          <w:sz w:val="32"/>
          <w:szCs w:val="20"/>
          <w:lang w:val="en-US" w:eastAsia="zh-CN" w:bidi="ar-SA"/>
          <w14:ligatures w14:val="standardContextual"/>
        </w:rPr>
        <w:t>运营计划与策略​</w:t>
      </w:r>
    </w:p>
    <w:p w14:paraId="6C296068">
      <w:pPr>
        <w:numPr>
          <w:numId w:val="0"/>
        </w:numPr>
        <w:spacing w:line="560" w:lineRule="exact"/>
        <w:ind w:firstLine="640" w:firstLineChars="200"/>
        <w:outlineLvl w:val="1"/>
        <w:rPr>
          <w:rFonts w:hint="default" w:ascii="仿宋_GB2312" w:hAnsi="Times New Roman" w:eastAsia="仿宋_GB2312" w:cs="Times New Roman"/>
          <w:b w:val="0"/>
          <w:bCs w:val="0"/>
          <w:kern w:val="2"/>
          <w:sz w:val="32"/>
          <w:szCs w:val="20"/>
          <w:lang w:val="en-US" w:eastAsia="zh-CN" w:bidi="ar-SA"/>
          <w14:ligatures w14:val="standardContextual"/>
        </w:rPr>
      </w:pPr>
      <w:r>
        <w:rPr>
          <w:rFonts w:hint="default" w:ascii="仿宋_GB2312" w:hAnsi="Times New Roman" w:eastAsia="仿宋_GB2312" w:cs="Times New Roman"/>
          <w:b w:val="0"/>
          <w:bCs w:val="0"/>
          <w:kern w:val="2"/>
          <w:sz w:val="32"/>
          <w:szCs w:val="20"/>
          <w:lang w:val="en-US" w:eastAsia="zh-CN" w:bidi="ar-SA"/>
          <w14:ligatures w14:val="standardContextual"/>
        </w:rPr>
        <w:t>明确楼宇需建立对标机制、合规管理体系及标准化作业流程（SOP），要求每年制定 OKRs（目标与关键成果）及改进计划，确保运营目标与客户需求、行业标杆同步。</w:t>
      </w:r>
    </w:p>
    <w:p w14:paraId="30F96ED7">
      <w:pPr>
        <w:numPr>
          <w:numId w:val="0"/>
        </w:numPr>
        <w:spacing w:line="560" w:lineRule="exact"/>
        <w:outlineLvl w:val="1"/>
        <w:rPr>
          <w:rFonts w:hint="default" w:ascii="仿宋_GB2312" w:hAnsi="Times New Roman" w:eastAsia="仿宋_GB2312" w:cs="Times New Roman"/>
          <w:b w:val="0"/>
          <w:bCs w:val="0"/>
          <w:kern w:val="2"/>
          <w:sz w:val="32"/>
          <w:szCs w:val="20"/>
          <w:lang w:val="en-US" w:eastAsia="zh-CN" w:bidi="ar-SA"/>
          <w14:ligatures w14:val="standardContextual"/>
        </w:rPr>
      </w:pPr>
    </w:p>
    <w:p w14:paraId="39F4A99D">
      <w:pPr>
        <w:numPr>
          <w:ilvl w:val="0"/>
          <w:numId w:val="2"/>
        </w:numPr>
        <w:spacing w:line="560" w:lineRule="exact"/>
        <w:ind w:left="0" w:leftChars="0" w:firstLine="0" w:firstLineChars="0"/>
        <w:outlineLvl w:val="1"/>
        <w:rPr>
          <w:rFonts w:hint="default" w:ascii="仿宋_GB2312" w:hAnsi="Times New Roman" w:eastAsia="仿宋_GB2312" w:cs="Times New Roman"/>
          <w:b w:val="0"/>
          <w:bCs w:val="0"/>
          <w:kern w:val="2"/>
          <w:sz w:val="32"/>
          <w:szCs w:val="20"/>
          <w:lang w:val="en-US" w:eastAsia="zh-CN" w:bidi="ar-SA"/>
          <w14:ligatures w14:val="standardContextual"/>
        </w:rPr>
      </w:pPr>
      <w:r>
        <w:rPr>
          <w:rFonts w:hint="default" w:ascii="仿宋_GB2312" w:hAnsi="Times New Roman" w:eastAsia="仿宋_GB2312" w:cs="Times New Roman"/>
          <w:b w:val="0"/>
          <w:bCs w:val="0"/>
          <w:kern w:val="2"/>
          <w:sz w:val="32"/>
          <w:szCs w:val="20"/>
          <w:lang w:val="en-US" w:eastAsia="zh-CN" w:bidi="ar-SA"/>
          <w14:ligatures w14:val="standardContextual"/>
        </w:rPr>
        <w:t>空间与服务设施​</w:t>
      </w:r>
    </w:p>
    <w:p w14:paraId="74CF1DA2">
      <w:pPr>
        <w:numPr>
          <w:numId w:val="0"/>
        </w:numPr>
        <w:spacing w:line="560" w:lineRule="exact"/>
        <w:ind w:leftChars="0" w:firstLine="640" w:firstLineChars="200"/>
        <w:outlineLvl w:val="1"/>
        <w:rPr>
          <w:rFonts w:hint="default" w:ascii="仿宋_GB2312" w:hAnsi="Times New Roman" w:eastAsia="仿宋_GB2312" w:cs="Times New Roman"/>
          <w:b w:val="0"/>
          <w:bCs w:val="0"/>
          <w:kern w:val="2"/>
          <w:sz w:val="32"/>
          <w:szCs w:val="20"/>
          <w:lang w:val="en-US" w:eastAsia="zh-CN" w:bidi="ar-SA"/>
          <w14:ligatures w14:val="standardContextual"/>
        </w:rPr>
      </w:pPr>
      <w:r>
        <w:rPr>
          <w:rFonts w:hint="default" w:ascii="仿宋_GB2312" w:hAnsi="Times New Roman" w:eastAsia="仿宋_GB2312" w:cs="Times New Roman"/>
          <w:b w:val="0"/>
          <w:bCs w:val="0"/>
          <w:kern w:val="2"/>
          <w:sz w:val="32"/>
          <w:szCs w:val="20"/>
          <w:lang w:val="en-US" w:eastAsia="zh-CN" w:bidi="ar-SA"/>
          <w14:ligatures w14:val="standardContextual"/>
        </w:rPr>
        <w:t>规定公共服务设施（如出入口礼宾、服务台）、卫生设施、交通设施等的配置标准，强调设施的兼容性与多元化，如为特殊群体提供友好设施、设置屋顶绿化减少热岛效应等。</w:t>
      </w:r>
    </w:p>
    <w:p w14:paraId="7752DE22">
      <w:pPr>
        <w:pStyle w:val="2"/>
        <w:spacing w:before="0" w:after="0" w:line="560" w:lineRule="exact"/>
        <w:ind w:firstLine="640" w:firstLineChars="200"/>
        <w:rPr>
          <w:rFonts w:hint="default" w:ascii="仿宋_GB2312" w:hAnsi="Times New Roman" w:eastAsia="仿宋_GB2312" w:cs="Times New Roman"/>
          <w:b w:val="0"/>
          <w:bCs w:val="0"/>
          <w:kern w:val="2"/>
          <w:sz w:val="32"/>
          <w:szCs w:val="20"/>
          <w:lang w:val="en-US" w:eastAsia="zh-CN" w:bidi="ar-SA"/>
          <w14:ligatures w14:val="standardContextual"/>
        </w:rPr>
      </w:pPr>
      <w:r>
        <w:rPr>
          <w:rFonts w:hint="default" w:ascii="仿宋_GB2312" w:hAnsi="Times New Roman" w:eastAsia="仿宋_GB2312" w:cs="Times New Roman"/>
          <w:b w:val="0"/>
          <w:bCs w:val="0"/>
          <w:kern w:val="2"/>
          <w:sz w:val="32"/>
          <w:szCs w:val="20"/>
          <w:lang w:val="en-US" w:eastAsia="zh-CN" w:bidi="ar-SA"/>
          <w14:ligatures w14:val="standardContextual"/>
        </w:rPr>
        <w:t>（三）客户服务​</w:t>
      </w:r>
    </w:p>
    <w:p w14:paraId="002E8595">
      <w:pPr>
        <w:pStyle w:val="2"/>
        <w:spacing w:before="0" w:after="0" w:line="560" w:lineRule="exact"/>
        <w:ind w:firstLine="640" w:firstLineChars="200"/>
        <w:rPr>
          <w:rFonts w:hint="default" w:ascii="仿宋_GB2312" w:hAnsi="Times New Roman" w:eastAsia="仿宋_GB2312" w:cs="Times New Roman"/>
          <w:b w:val="0"/>
          <w:bCs w:val="0"/>
          <w:kern w:val="2"/>
          <w:sz w:val="32"/>
          <w:szCs w:val="20"/>
          <w:lang w:val="en-US" w:eastAsia="zh-CN" w:bidi="ar-SA"/>
          <w14:ligatures w14:val="standardContextual"/>
        </w:rPr>
      </w:pPr>
      <w:r>
        <w:rPr>
          <w:rFonts w:hint="default" w:ascii="仿宋_GB2312" w:hAnsi="Times New Roman" w:eastAsia="仿宋_GB2312" w:cs="Times New Roman"/>
          <w:b w:val="0"/>
          <w:bCs w:val="0"/>
          <w:kern w:val="2"/>
          <w:sz w:val="32"/>
          <w:szCs w:val="20"/>
          <w:lang w:val="en-US" w:eastAsia="zh-CN" w:bidi="ar-SA"/>
          <w14:ligatures w14:val="standardContextual"/>
        </w:rPr>
        <w:t>要求建立客户调查与细分机制，每年开展满意度测评，提供租务配合、诉求响应等全周期服务，每 2 个月至少举办 1 次楼宇文化活动，提升客户体验。​</w:t>
      </w:r>
    </w:p>
    <w:p w14:paraId="1D6D6B7F">
      <w:pPr>
        <w:pStyle w:val="2"/>
        <w:spacing w:before="0" w:after="0" w:line="560" w:lineRule="exact"/>
        <w:ind w:firstLine="640" w:firstLineChars="200"/>
        <w:rPr>
          <w:rFonts w:hint="default" w:ascii="仿宋_GB2312" w:hAnsi="Times New Roman" w:eastAsia="仿宋_GB2312" w:cs="Times New Roman"/>
          <w:b w:val="0"/>
          <w:bCs w:val="0"/>
          <w:kern w:val="2"/>
          <w:sz w:val="32"/>
          <w:szCs w:val="20"/>
          <w:lang w:val="en-US" w:eastAsia="zh-CN" w:bidi="ar-SA"/>
          <w14:ligatures w14:val="standardContextual"/>
        </w:rPr>
      </w:pPr>
      <w:r>
        <w:rPr>
          <w:rFonts w:hint="default" w:ascii="仿宋_GB2312" w:hAnsi="Times New Roman" w:eastAsia="仿宋_GB2312" w:cs="Times New Roman"/>
          <w:b w:val="0"/>
          <w:bCs w:val="0"/>
          <w:kern w:val="2"/>
          <w:sz w:val="32"/>
          <w:szCs w:val="20"/>
          <w:lang w:val="en-US" w:eastAsia="zh-CN" w:bidi="ar-SA"/>
          <w14:ligatures w14:val="standardContextual"/>
        </w:rPr>
        <w:t>（四）安全与健康​</w:t>
      </w:r>
    </w:p>
    <w:p w14:paraId="60290399">
      <w:pPr>
        <w:pStyle w:val="2"/>
        <w:spacing w:before="0" w:after="0" w:line="560" w:lineRule="exact"/>
        <w:ind w:firstLine="640" w:firstLineChars="200"/>
        <w:rPr>
          <w:rFonts w:hint="default" w:ascii="仿宋_GB2312" w:hAnsi="Times New Roman" w:eastAsia="仿宋_GB2312" w:cs="Times New Roman"/>
          <w:b w:val="0"/>
          <w:bCs w:val="0"/>
          <w:kern w:val="2"/>
          <w:sz w:val="32"/>
          <w:szCs w:val="20"/>
          <w:lang w:val="en-US" w:eastAsia="zh-CN" w:bidi="ar-SA"/>
          <w14:ligatures w14:val="standardContextual"/>
        </w:rPr>
      </w:pPr>
      <w:r>
        <w:rPr>
          <w:rFonts w:hint="default" w:ascii="仿宋_GB2312" w:hAnsi="Times New Roman" w:eastAsia="仿宋_GB2312" w:cs="Times New Roman"/>
          <w:b w:val="0"/>
          <w:bCs w:val="0"/>
          <w:kern w:val="2"/>
          <w:sz w:val="32"/>
          <w:szCs w:val="20"/>
          <w:lang w:val="en-US" w:eastAsia="zh-CN" w:bidi="ar-SA"/>
          <w14:ligatures w14:val="standardContextual"/>
        </w:rPr>
        <w:t>设定室内环境质量指标（如噪声≤40dB (A)、PM2.5≤0.05mg/m³）、饮用水安全标准，要求建立应急响应机制，定期开展消防、传染病防控等演练，保障客户与员工安全。​</w:t>
      </w:r>
    </w:p>
    <w:p w14:paraId="2EDA8EDF">
      <w:pPr>
        <w:pStyle w:val="2"/>
        <w:spacing w:before="0" w:after="0" w:line="560" w:lineRule="exact"/>
        <w:ind w:firstLine="640" w:firstLineChars="200"/>
        <w:rPr>
          <w:rFonts w:hint="default" w:ascii="仿宋_GB2312" w:hAnsi="Times New Roman" w:eastAsia="仿宋_GB2312" w:cs="Times New Roman"/>
          <w:b w:val="0"/>
          <w:bCs w:val="0"/>
          <w:kern w:val="2"/>
          <w:sz w:val="32"/>
          <w:szCs w:val="20"/>
          <w:lang w:val="en-US" w:eastAsia="zh-CN" w:bidi="ar-SA"/>
          <w14:ligatures w14:val="standardContextual"/>
        </w:rPr>
      </w:pPr>
      <w:r>
        <w:rPr>
          <w:rFonts w:hint="default" w:ascii="仿宋_GB2312" w:hAnsi="Times New Roman" w:eastAsia="仿宋_GB2312" w:cs="Times New Roman"/>
          <w:b w:val="0"/>
          <w:bCs w:val="0"/>
          <w:kern w:val="2"/>
          <w:sz w:val="32"/>
          <w:szCs w:val="20"/>
          <w:lang w:val="en-US" w:eastAsia="zh-CN" w:bidi="ar-SA"/>
          <w14:ligatures w14:val="standardContextual"/>
        </w:rPr>
        <w:t>（五）低碳运行​</w:t>
      </w:r>
    </w:p>
    <w:p w14:paraId="260C2512">
      <w:pPr>
        <w:pStyle w:val="2"/>
        <w:spacing w:before="0" w:after="0" w:line="560" w:lineRule="exact"/>
        <w:ind w:firstLine="640" w:firstLineChars="200"/>
        <w:rPr>
          <w:rFonts w:hint="default" w:ascii="仿宋_GB2312" w:hAnsi="Times New Roman" w:eastAsia="仿宋_GB2312" w:cs="Times New Roman"/>
          <w:b w:val="0"/>
          <w:bCs w:val="0"/>
          <w:kern w:val="2"/>
          <w:sz w:val="32"/>
          <w:szCs w:val="20"/>
          <w:lang w:val="en-US" w:eastAsia="zh-CN" w:bidi="ar-SA"/>
          <w14:ligatures w14:val="standardContextual"/>
        </w:rPr>
      </w:pPr>
      <w:r>
        <w:rPr>
          <w:rFonts w:hint="default" w:ascii="仿宋_GB2312" w:hAnsi="Times New Roman" w:eastAsia="仿宋_GB2312" w:cs="Times New Roman"/>
          <w:b w:val="0"/>
          <w:bCs w:val="0"/>
          <w:kern w:val="2"/>
          <w:sz w:val="32"/>
          <w:szCs w:val="20"/>
          <w:lang w:val="en-US" w:eastAsia="zh-CN" w:bidi="ar-SA"/>
          <w14:ligatures w14:val="standardContextual"/>
        </w:rPr>
        <w:t>要求建立能源与资源管理体系，实施垃圾分类与废弃物回收，每年进行碳排放核查，鼓励使用可再生能源（如光伏、地源热泵），参与绿电交易，推动低碳转型。​</w:t>
      </w:r>
    </w:p>
    <w:p w14:paraId="1D8FBA79">
      <w:pPr>
        <w:pStyle w:val="2"/>
        <w:spacing w:before="0" w:after="0" w:line="560" w:lineRule="exact"/>
        <w:ind w:firstLine="640" w:firstLineChars="200"/>
        <w:rPr>
          <w:rFonts w:hint="default" w:ascii="仿宋_GB2312" w:hAnsi="Times New Roman" w:eastAsia="仿宋_GB2312" w:cs="Times New Roman"/>
          <w:b w:val="0"/>
          <w:bCs w:val="0"/>
          <w:kern w:val="2"/>
          <w:sz w:val="32"/>
          <w:szCs w:val="20"/>
          <w:lang w:val="en-US" w:eastAsia="zh-CN" w:bidi="ar-SA"/>
          <w14:ligatures w14:val="standardContextual"/>
        </w:rPr>
      </w:pPr>
      <w:r>
        <w:rPr>
          <w:rFonts w:hint="default" w:ascii="仿宋_GB2312" w:hAnsi="Times New Roman" w:eastAsia="仿宋_GB2312" w:cs="Times New Roman"/>
          <w:b w:val="0"/>
          <w:bCs w:val="0"/>
          <w:kern w:val="2"/>
          <w:sz w:val="32"/>
          <w:szCs w:val="20"/>
          <w:lang w:val="en-US" w:eastAsia="zh-CN" w:bidi="ar-SA"/>
          <w14:ligatures w14:val="standardContextual"/>
        </w:rPr>
        <w:t>（六）评价与改进​</w:t>
      </w:r>
    </w:p>
    <w:p w14:paraId="4D60645A">
      <w:pPr>
        <w:pStyle w:val="2"/>
        <w:spacing w:before="0" w:after="0" w:line="560" w:lineRule="exact"/>
        <w:ind w:firstLine="640" w:firstLineChars="200"/>
        <w:rPr>
          <w:rFonts w:hint="default" w:ascii="仿宋_GB2312" w:hAnsi="Times New Roman" w:eastAsia="仿宋_GB2312" w:cs="Times New Roman"/>
          <w:b w:val="0"/>
          <w:bCs w:val="0"/>
          <w:kern w:val="2"/>
          <w:sz w:val="32"/>
          <w:szCs w:val="20"/>
          <w:lang w:val="en-US" w:eastAsia="zh-CN" w:bidi="ar-SA"/>
          <w14:ligatures w14:val="standardContextual"/>
        </w:rPr>
      </w:pPr>
      <w:r>
        <w:rPr>
          <w:rFonts w:hint="default" w:ascii="仿宋_GB2312" w:hAnsi="Times New Roman" w:eastAsia="仿宋_GB2312" w:cs="Times New Roman"/>
          <w:b w:val="0"/>
          <w:bCs w:val="0"/>
          <w:kern w:val="2"/>
          <w:sz w:val="32"/>
          <w:szCs w:val="20"/>
          <w:lang w:val="en-US" w:eastAsia="zh-CN" w:bidi="ar-SA"/>
          <w14:ligatures w14:val="standardContextual"/>
        </w:rPr>
        <w:t>构建绩效评价指标体系，涵盖客户满意度、能源利用效率、安全事故率等维度，要求通过持续监测、分析与改进，提升运营管理水平。</w:t>
      </w:r>
    </w:p>
    <w:p w14:paraId="02E88304">
      <w:pPr>
        <w:rPr>
          <w:rStyle w:val="11"/>
          <w:rFonts w:hint="default"/>
          <w:lang w:val="en-US" w:eastAsia="zh-CN"/>
          <w:woUserID w:val="0"/>
        </w:rPr>
      </w:pPr>
    </w:p>
    <w:p w14:paraId="5DA5E4CE">
      <w:pPr>
        <w:pStyle w:val="3"/>
        <w:bidi w:val="0"/>
        <w:rPr>
          <w:rFonts w:hint="default"/>
          <w:lang w:val="en-US" w:eastAsia="zh-CN"/>
        </w:rPr>
      </w:pPr>
    </w:p>
    <w:bookmarkEnd w:id="13"/>
    <w:p w14:paraId="50F6865B">
      <w:pPr>
        <w:numPr>
          <w:ilvl w:val="0"/>
          <w:numId w:val="0"/>
        </w:numPr>
        <w:spacing w:line="560" w:lineRule="exact"/>
        <w:ind w:firstLine="640" w:firstLineChars="200"/>
        <w:outlineLvl w:val="1"/>
        <w:rPr>
          <w:rFonts w:ascii="仿宋_GB2312" w:eastAsia="仿宋_GB2312"/>
          <w:sz w:val="32"/>
        </w:rPr>
      </w:pPr>
      <w:bookmarkStart w:id="14" w:name="_Toc23517"/>
      <w:r>
        <w:rPr>
          <w:rFonts w:hint="eastAsia" w:ascii="仿宋_GB2312" w:eastAsia="仿宋_GB2312"/>
          <w:sz w:val="32"/>
        </w:rPr>
        <w:t>六、重大意见分歧的处理依据和结果</w:t>
      </w:r>
      <w:bookmarkEnd w:id="14"/>
    </w:p>
    <w:p w14:paraId="1C8D3E75">
      <w:pPr>
        <w:spacing w:line="560" w:lineRule="exact"/>
        <w:ind w:firstLine="640" w:firstLineChars="200"/>
        <w:rPr>
          <w:rFonts w:hint="eastAsia" w:ascii="仿宋_GB2312" w:eastAsia="仿宋_GB2312"/>
          <w:sz w:val="32"/>
        </w:rPr>
      </w:pPr>
      <w:r>
        <w:rPr>
          <w:rFonts w:hint="eastAsia" w:ascii="仿宋_GB2312" w:eastAsia="仿宋_GB2312"/>
          <w:sz w:val="32"/>
        </w:rPr>
        <w:t>无</w:t>
      </w:r>
    </w:p>
    <w:p w14:paraId="4BC14C1C">
      <w:pPr>
        <w:spacing w:line="560" w:lineRule="exact"/>
        <w:ind w:firstLine="640" w:firstLineChars="200"/>
        <w:rPr>
          <w:rFonts w:hint="eastAsia" w:ascii="仿宋_GB2312" w:eastAsia="仿宋_GB2312"/>
          <w:sz w:val="32"/>
        </w:rPr>
      </w:pPr>
    </w:p>
    <w:p w14:paraId="71A1C978">
      <w:pPr>
        <w:pStyle w:val="2"/>
        <w:spacing w:before="0" w:after="0" w:line="560" w:lineRule="exact"/>
        <w:ind w:firstLine="643" w:firstLineChars="200"/>
        <w:rPr>
          <w:rFonts w:ascii="仿宋_GB2312" w:eastAsia="仿宋_GB2312"/>
          <w:sz w:val="32"/>
        </w:rPr>
      </w:pPr>
      <w:bookmarkStart w:id="15" w:name="_Toc31807"/>
      <w:r>
        <w:rPr>
          <w:rFonts w:hint="eastAsia" w:ascii="仿宋_GB2312" w:eastAsia="仿宋_GB2312"/>
          <w:sz w:val="32"/>
        </w:rPr>
        <w:t>七、采用国际标准和国外先进标准的，说明采标程度，以及与国内外同类标准水平的对比情况</w:t>
      </w:r>
      <w:bookmarkEnd w:id="15"/>
    </w:p>
    <w:p w14:paraId="66BAFEEC">
      <w:pPr>
        <w:spacing w:line="560" w:lineRule="exact"/>
        <w:ind w:firstLine="640" w:firstLineChars="200"/>
        <w:rPr>
          <w:rFonts w:hint="default" w:ascii="仿宋_GB2312" w:hAnsi="Times New Roman" w:eastAsia="仿宋_GB2312" w:cs="Times New Roman"/>
          <w:b w:val="0"/>
          <w:bCs w:val="0"/>
          <w:kern w:val="2"/>
          <w:sz w:val="32"/>
          <w:szCs w:val="20"/>
          <w:lang w:val="en-US" w:eastAsia="zh-CN" w:bidi="ar-SA"/>
          <w14:ligatures w14:val="standardContextual"/>
        </w:rPr>
      </w:pPr>
      <w:r>
        <w:rPr>
          <w:rFonts w:hint="default" w:ascii="仿宋_GB2312" w:hAnsi="Times New Roman" w:eastAsia="仿宋_GB2312" w:cs="Times New Roman"/>
          <w:b w:val="0"/>
          <w:bCs w:val="0"/>
          <w:kern w:val="2"/>
          <w:sz w:val="32"/>
          <w:szCs w:val="20"/>
          <w:lang w:val="en-US" w:eastAsia="zh-CN" w:bidi="ar-SA"/>
          <w14:ligatures w14:val="standardContextual"/>
        </w:rPr>
        <w:t>在制定过程中参考了</w:t>
      </w:r>
      <w:r>
        <w:rPr>
          <w:rFonts w:hint="eastAsia" w:ascii="仿宋_GB2312" w:eastAsia="仿宋_GB2312" w:cs="Times New Roman"/>
          <w:b w:val="0"/>
          <w:bCs w:val="0"/>
          <w:kern w:val="2"/>
          <w:sz w:val="32"/>
          <w:szCs w:val="20"/>
          <w:lang w:val="en-US" w:eastAsia="zh-CN" w:bidi="ar-SA"/>
          <w14:ligatures w14:val="standardContextual"/>
        </w:rPr>
        <w:t>国际相关</w:t>
      </w:r>
      <w:r>
        <w:rPr>
          <w:rFonts w:hint="default" w:ascii="仿宋_GB2312" w:hAnsi="Times New Roman" w:eastAsia="仿宋_GB2312" w:cs="Times New Roman"/>
          <w:b w:val="0"/>
          <w:bCs w:val="0"/>
          <w:kern w:val="2"/>
          <w:sz w:val="32"/>
          <w:szCs w:val="20"/>
          <w:lang w:val="en-US" w:eastAsia="zh-CN" w:bidi="ar-SA"/>
          <w14:ligatures w14:val="standardContextual"/>
        </w:rPr>
        <w:t>机构的评价理念，结合我国实际进行本土化调整。</w:t>
      </w:r>
    </w:p>
    <w:p w14:paraId="614DE55B">
      <w:pPr>
        <w:spacing w:line="560" w:lineRule="exact"/>
        <w:ind w:firstLine="640" w:firstLineChars="200"/>
        <w:rPr>
          <w:rFonts w:ascii="仿宋_GB2312" w:eastAsia="仿宋_GB2312"/>
          <w:sz w:val="32"/>
        </w:rPr>
      </w:pPr>
    </w:p>
    <w:p w14:paraId="2ED2872A">
      <w:pPr>
        <w:pStyle w:val="2"/>
        <w:spacing w:before="0" w:after="0" w:line="560" w:lineRule="exact"/>
        <w:ind w:firstLine="643" w:firstLineChars="200"/>
        <w:rPr>
          <w:rFonts w:ascii="仿宋_GB2312" w:eastAsia="仿宋_GB2312"/>
          <w:sz w:val="32"/>
        </w:rPr>
      </w:pPr>
      <w:bookmarkStart w:id="16" w:name="_Toc11051"/>
      <w:r>
        <w:rPr>
          <w:rFonts w:hint="eastAsia" w:ascii="仿宋_GB2312" w:eastAsia="仿宋_GB2312"/>
          <w:sz w:val="32"/>
        </w:rPr>
        <w:t>八、作为推荐性标准或者强制性标准的建议及其理由</w:t>
      </w:r>
      <w:bookmarkEnd w:id="16"/>
    </w:p>
    <w:p w14:paraId="5D983185">
      <w:pPr>
        <w:spacing w:line="560" w:lineRule="exact"/>
        <w:ind w:firstLine="640" w:firstLineChars="200"/>
        <w:rPr>
          <w:rFonts w:hint="default" w:ascii="仿宋_GB2312" w:hAnsi="Times New Roman" w:eastAsia="仿宋_GB2312" w:cs="Times New Roman"/>
          <w:b w:val="0"/>
          <w:bCs w:val="0"/>
          <w:kern w:val="2"/>
          <w:sz w:val="32"/>
          <w:szCs w:val="20"/>
          <w:lang w:val="en-US" w:eastAsia="zh-CN" w:bidi="ar-SA"/>
          <w14:ligatures w14:val="standardContextual"/>
        </w:rPr>
      </w:pPr>
      <w:r>
        <w:rPr>
          <w:rFonts w:hint="default" w:ascii="仿宋_GB2312" w:hAnsi="Times New Roman" w:eastAsia="仿宋_GB2312" w:cs="Times New Roman"/>
          <w:b w:val="0"/>
          <w:bCs w:val="0"/>
          <w:kern w:val="2"/>
          <w:sz w:val="32"/>
          <w:szCs w:val="20"/>
          <w:lang w:val="en-US" w:eastAsia="zh-CN" w:bidi="ar-SA"/>
          <w14:ligatures w14:val="standardContextual"/>
        </w:rPr>
        <w:t>建议本标准作为推荐性标准。理由是我国商务楼宇发展不均衡，不同地区、类型的楼宇在运营基础与资源条件上存在差异，推荐性标准可允许各单位根据实际情况逐步实施，兼顾标准的引导性与适用性。</w:t>
      </w:r>
    </w:p>
    <w:p w14:paraId="7066BA77">
      <w:pPr>
        <w:spacing w:line="560" w:lineRule="exact"/>
        <w:ind w:firstLine="640" w:firstLineChars="200"/>
        <w:rPr>
          <w:rFonts w:hint="default" w:ascii="仿宋_GB2312" w:hAnsi="Times New Roman" w:eastAsia="仿宋_GB2312" w:cs="Times New Roman"/>
          <w:b w:val="0"/>
          <w:bCs w:val="0"/>
          <w:kern w:val="2"/>
          <w:sz w:val="32"/>
          <w:szCs w:val="20"/>
          <w:lang w:val="en-US" w:eastAsia="zh-CN" w:bidi="ar-SA"/>
          <w14:ligatures w14:val="standardContextual"/>
        </w:rPr>
      </w:pPr>
    </w:p>
    <w:p w14:paraId="32B09E4C">
      <w:pPr>
        <w:pStyle w:val="2"/>
        <w:spacing w:before="0" w:after="0" w:line="560" w:lineRule="exact"/>
        <w:ind w:firstLine="643" w:firstLineChars="200"/>
        <w:rPr>
          <w:rFonts w:ascii="仿宋_GB2312" w:eastAsia="仿宋_GB2312"/>
          <w:sz w:val="32"/>
        </w:rPr>
      </w:pPr>
      <w:bookmarkStart w:id="17" w:name="_Toc5856"/>
      <w:r>
        <w:rPr>
          <w:rFonts w:hint="eastAsia" w:ascii="仿宋_GB2312" w:eastAsia="仿宋_GB2312"/>
          <w:sz w:val="32"/>
        </w:rPr>
        <w:t>九、贯彻标准的措施建议</w:t>
      </w:r>
      <w:bookmarkEnd w:id="17"/>
    </w:p>
    <w:p w14:paraId="3EDE5E02">
      <w:pPr>
        <w:pStyle w:val="2"/>
        <w:spacing w:before="0" w:after="0" w:line="560" w:lineRule="exact"/>
        <w:ind w:firstLine="640" w:firstLineChars="200"/>
        <w:rPr>
          <w:rFonts w:hint="default" w:ascii="仿宋_GB2312" w:hAnsi="Times New Roman" w:eastAsia="仿宋_GB2312" w:cs="Times New Roman"/>
          <w:b w:val="0"/>
          <w:bCs w:val="0"/>
          <w:kern w:val="2"/>
          <w:sz w:val="32"/>
          <w:szCs w:val="20"/>
          <w:lang w:val="en-US" w:eastAsia="zh-CN" w:bidi="ar-SA"/>
          <w14:ligatures w14:val="standardContextual"/>
        </w:rPr>
      </w:pPr>
      <w:bookmarkStart w:id="18" w:name="_Toc12359"/>
      <w:r>
        <w:rPr>
          <w:rFonts w:hint="default" w:ascii="仿宋_GB2312" w:hAnsi="Times New Roman" w:eastAsia="仿宋_GB2312" w:cs="Times New Roman"/>
          <w:b w:val="0"/>
          <w:bCs w:val="0"/>
          <w:kern w:val="2"/>
          <w:sz w:val="32"/>
          <w:szCs w:val="20"/>
          <w:lang w:val="en-US" w:eastAsia="zh-CN" w:bidi="ar-SA"/>
          <w14:ligatures w14:val="standardContextual"/>
        </w:rPr>
        <w:t>建议由中国国际投资促进会牵头，组织标准宣贯培训，指导楼宇运营方理解与应用标准；建立评价认证机制，对达标楼宇授予相应称号，发挥示范引领作用；定期收集标准实施反馈，适时修订完善，确保标准的科学性与时效性。</w:t>
      </w:r>
    </w:p>
    <w:p w14:paraId="7DA57F22">
      <w:pPr>
        <w:rPr>
          <w:rFonts w:hint="default"/>
          <w:lang w:val="en-US" w:eastAsia="zh-CN"/>
        </w:rPr>
      </w:pPr>
    </w:p>
    <w:p w14:paraId="1EFEA7F1">
      <w:pPr>
        <w:pStyle w:val="2"/>
        <w:spacing w:before="0" w:after="0" w:line="560" w:lineRule="exact"/>
        <w:ind w:firstLine="643" w:firstLineChars="200"/>
        <w:rPr>
          <w:rFonts w:ascii="仿宋_GB2312" w:eastAsia="仿宋_GB2312"/>
          <w:sz w:val="32"/>
        </w:rPr>
      </w:pPr>
      <w:r>
        <w:rPr>
          <w:rFonts w:hint="eastAsia" w:ascii="仿宋_GB2312" w:eastAsia="仿宋_GB2312"/>
          <w:sz w:val="32"/>
        </w:rPr>
        <w:t>十、其他应说明的事项</w:t>
      </w:r>
      <w:bookmarkEnd w:id="18"/>
    </w:p>
    <w:p w14:paraId="2A7D9E1F">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bookmarkEnd w:id="0"/>
      <w:bookmarkEnd w:id="2"/>
    </w:p>
    <w:p w14:paraId="7A0B0903"/>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1" w:fontKey="{968FBB91-25E6-40FB-B52D-D3088CB5351F}"/>
  </w:font>
  <w:font w:name="仿宋">
    <w:panose1 w:val="02010609060101010101"/>
    <w:charset w:val="86"/>
    <w:family w:val="modern"/>
    <w:pitch w:val="default"/>
    <w:sig w:usb0="800002BF" w:usb1="38CF7CFA" w:usb2="00000016" w:usb3="00000000" w:csb0="00040001" w:csb1="00000000"/>
    <w:embedRegular r:id="rId2" w:fontKey="{54FBD3DD-8984-4FB3-B0C2-52ED3E15E2D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汉仪中宋简">
    <w:altName w:val="黑体"/>
    <w:panose1 w:val="00000000000000000000"/>
    <w:charset w:val="86"/>
    <w:family w:val="modern"/>
    <w:pitch w:val="default"/>
    <w:sig w:usb0="00000000" w:usb1="00000000" w:usb2="00000012"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8B07E6F9-C433-43FA-ADE1-95D63DF2BB5B}"/>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401584"/>
      <w:docPartObj>
        <w:docPartGallery w:val="autotext"/>
      </w:docPartObj>
    </w:sdtPr>
    <w:sdtContent>
      <w:p w14:paraId="7CCF745D">
        <w:pPr>
          <w:pStyle w:val="4"/>
          <w:jc w:val="center"/>
        </w:pPr>
        <w:r>
          <w:fldChar w:fldCharType="begin"/>
        </w:r>
        <w:r>
          <w:instrText xml:space="preserve">PAGE   \* MERGEFORMAT</w:instrText>
        </w:r>
        <w:r>
          <w:fldChar w:fldCharType="separate"/>
        </w:r>
        <w:r>
          <w:rPr>
            <w:lang w:val="zh-CN"/>
          </w:rPr>
          <w:t>2</w:t>
        </w:r>
        <w:r>
          <w:fldChar w:fldCharType="end"/>
        </w:r>
      </w:p>
    </w:sdtContent>
  </w:sdt>
  <w:p w14:paraId="785834E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0223303"/>
      <w:docPartObj>
        <w:docPartGallery w:val="autotext"/>
      </w:docPartObj>
    </w:sdtPr>
    <w:sdtContent>
      <w:p w14:paraId="061FBEB1">
        <w:pPr>
          <w:pStyle w:val="4"/>
          <w:spacing w:before="240" w:after="240"/>
        </w:pPr>
        <w:r>
          <w:fldChar w:fldCharType="begin"/>
        </w:r>
        <w:r>
          <w:instrText xml:space="preserve">PAGE   \* MERGEFORMAT</w:instrText>
        </w:r>
        <w:r>
          <w:fldChar w:fldCharType="separate"/>
        </w:r>
        <w:r>
          <w:rPr>
            <w:lang w:val="zh-CN"/>
          </w:rPr>
          <w:t>8</w:t>
        </w:r>
        <w:r>
          <w:fldChar w:fldCharType="end"/>
        </w:r>
      </w:p>
    </w:sdtContent>
  </w:sdt>
  <w:p w14:paraId="0AE33CC8">
    <w:pPr>
      <w:pStyle w:val="4"/>
      <w:wordWrap w:val="0"/>
      <w:ind w:right="18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1B152"/>
    <w:multiLevelType w:val="singleLevel"/>
    <w:tmpl w:val="0F11B152"/>
    <w:lvl w:ilvl="0" w:tentative="0">
      <w:start w:val="3"/>
      <w:numFmt w:val="chineseCounting"/>
      <w:suff w:val="nothing"/>
      <w:lvlText w:val="（%1）"/>
      <w:lvlJc w:val="left"/>
      <w:rPr>
        <w:rFonts w:hint="eastAsia"/>
      </w:rPr>
    </w:lvl>
  </w:abstractNum>
  <w:abstractNum w:abstractNumId="1">
    <w:nsid w:val="7F02B9E1"/>
    <w:multiLevelType w:val="singleLevel"/>
    <w:tmpl w:val="7F02B9E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BA"/>
    <w:rsid w:val="000020D8"/>
    <w:rsid w:val="00003C56"/>
    <w:rsid w:val="0001357E"/>
    <w:rsid w:val="00014D96"/>
    <w:rsid w:val="00022602"/>
    <w:rsid w:val="000246AF"/>
    <w:rsid w:val="000249CB"/>
    <w:rsid w:val="00026070"/>
    <w:rsid w:val="00030EB7"/>
    <w:rsid w:val="000311CA"/>
    <w:rsid w:val="00042BCA"/>
    <w:rsid w:val="00044338"/>
    <w:rsid w:val="000457DB"/>
    <w:rsid w:val="00062578"/>
    <w:rsid w:val="00062895"/>
    <w:rsid w:val="00065DD1"/>
    <w:rsid w:val="00065F35"/>
    <w:rsid w:val="00074E97"/>
    <w:rsid w:val="000803E5"/>
    <w:rsid w:val="000853CD"/>
    <w:rsid w:val="0008563D"/>
    <w:rsid w:val="00085652"/>
    <w:rsid w:val="00087802"/>
    <w:rsid w:val="00093CDE"/>
    <w:rsid w:val="00094790"/>
    <w:rsid w:val="00095F82"/>
    <w:rsid w:val="000A6C8B"/>
    <w:rsid w:val="000B15A2"/>
    <w:rsid w:val="000B2076"/>
    <w:rsid w:val="000B3067"/>
    <w:rsid w:val="000B4395"/>
    <w:rsid w:val="000C2EE3"/>
    <w:rsid w:val="000C3F26"/>
    <w:rsid w:val="000E5DD9"/>
    <w:rsid w:val="000F18E6"/>
    <w:rsid w:val="000F1B8B"/>
    <w:rsid w:val="000F3A61"/>
    <w:rsid w:val="000F3E88"/>
    <w:rsid w:val="000F50F3"/>
    <w:rsid w:val="000F5FC7"/>
    <w:rsid w:val="001039D8"/>
    <w:rsid w:val="00103E8C"/>
    <w:rsid w:val="00111602"/>
    <w:rsid w:val="00111766"/>
    <w:rsid w:val="00112FF1"/>
    <w:rsid w:val="001163D8"/>
    <w:rsid w:val="00122301"/>
    <w:rsid w:val="0012292A"/>
    <w:rsid w:val="00123CB9"/>
    <w:rsid w:val="00124968"/>
    <w:rsid w:val="001314C5"/>
    <w:rsid w:val="001345A8"/>
    <w:rsid w:val="00134CFC"/>
    <w:rsid w:val="00135625"/>
    <w:rsid w:val="00137385"/>
    <w:rsid w:val="00141FB7"/>
    <w:rsid w:val="00144637"/>
    <w:rsid w:val="00150151"/>
    <w:rsid w:val="00154896"/>
    <w:rsid w:val="001561A8"/>
    <w:rsid w:val="0016020D"/>
    <w:rsid w:val="00164EBA"/>
    <w:rsid w:val="0017155B"/>
    <w:rsid w:val="001737A9"/>
    <w:rsid w:val="001775FE"/>
    <w:rsid w:val="001807F2"/>
    <w:rsid w:val="00184ADD"/>
    <w:rsid w:val="00187A08"/>
    <w:rsid w:val="00190DE5"/>
    <w:rsid w:val="0019398B"/>
    <w:rsid w:val="00194B4A"/>
    <w:rsid w:val="00194F3A"/>
    <w:rsid w:val="00195E45"/>
    <w:rsid w:val="00196495"/>
    <w:rsid w:val="001A0443"/>
    <w:rsid w:val="001A1095"/>
    <w:rsid w:val="001A40DF"/>
    <w:rsid w:val="001B172D"/>
    <w:rsid w:val="001B2026"/>
    <w:rsid w:val="001B75DA"/>
    <w:rsid w:val="001C2DBD"/>
    <w:rsid w:val="001C3B41"/>
    <w:rsid w:val="001C4030"/>
    <w:rsid w:val="001C4247"/>
    <w:rsid w:val="001D0062"/>
    <w:rsid w:val="001D1BC0"/>
    <w:rsid w:val="001D2E20"/>
    <w:rsid w:val="001D739A"/>
    <w:rsid w:val="001E0107"/>
    <w:rsid w:val="001E33DC"/>
    <w:rsid w:val="001E3BFE"/>
    <w:rsid w:val="001E5AFA"/>
    <w:rsid w:val="001F4FA5"/>
    <w:rsid w:val="00200FAA"/>
    <w:rsid w:val="002046D8"/>
    <w:rsid w:val="00207003"/>
    <w:rsid w:val="00207075"/>
    <w:rsid w:val="002070C5"/>
    <w:rsid w:val="00207E0C"/>
    <w:rsid w:val="0021039B"/>
    <w:rsid w:val="002170E5"/>
    <w:rsid w:val="002209B0"/>
    <w:rsid w:val="00221451"/>
    <w:rsid w:val="00222054"/>
    <w:rsid w:val="00225C8F"/>
    <w:rsid w:val="0023109A"/>
    <w:rsid w:val="00233A4A"/>
    <w:rsid w:val="00234DCD"/>
    <w:rsid w:val="002354F2"/>
    <w:rsid w:val="00244988"/>
    <w:rsid w:val="002502A0"/>
    <w:rsid w:val="00250C77"/>
    <w:rsid w:val="00252ABE"/>
    <w:rsid w:val="00253255"/>
    <w:rsid w:val="002572E9"/>
    <w:rsid w:val="00257F46"/>
    <w:rsid w:val="00261852"/>
    <w:rsid w:val="00262AC0"/>
    <w:rsid w:val="00281D9F"/>
    <w:rsid w:val="00282726"/>
    <w:rsid w:val="0028311A"/>
    <w:rsid w:val="00284DF3"/>
    <w:rsid w:val="00285FB3"/>
    <w:rsid w:val="00286DC2"/>
    <w:rsid w:val="00290F4A"/>
    <w:rsid w:val="00294E6C"/>
    <w:rsid w:val="002A0E25"/>
    <w:rsid w:val="002A573A"/>
    <w:rsid w:val="002B05A4"/>
    <w:rsid w:val="002C0469"/>
    <w:rsid w:val="002C3687"/>
    <w:rsid w:val="002C5991"/>
    <w:rsid w:val="002D0BE7"/>
    <w:rsid w:val="002D32EB"/>
    <w:rsid w:val="002D471F"/>
    <w:rsid w:val="002E104C"/>
    <w:rsid w:val="002E1A04"/>
    <w:rsid w:val="002E6212"/>
    <w:rsid w:val="002F2661"/>
    <w:rsid w:val="002F2735"/>
    <w:rsid w:val="00302B97"/>
    <w:rsid w:val="003036AE"/>
    <w:rsid w:val="00306F34"/>
    <w:rsid w:val="00307437"/>
    <w:rsid w:val="003076B5"/>
    <w:rsid w:val="00324116"/>
    <w:rsid w:val="003306C0"/>
    <w:rsid w:val="003419BA"/>
    <w:rsid w:val="003522F1"/>
    <w:rsid w:val="003523C3"/>
    <w:rsid w:val="00355986"/>
    <w:rsid w:val="00362633"/>
    <w:rsid w:val="00374C68"/>
    <w:rsid w:val="00376893"/>
    <w:rsid w:val="00390D34"/>
    <w:rsid w:val="003925C8"/>
    <w:rsid w:val="00393BF2"/>
    <w:rsid w:val="0039439D"/>
    <w:rsid w:val="00395C02"/>
    <w:rsid w:val="003A3B71"/>
    <w:rsid w:val="003B2321"/>
    <w:rsid w:val="003B3065"/>
    <w:rsid w:val="003B34D2"/>
    <w:rsid w:val="003B35E4"/>
    <w:rsid w:val="003B375B"/>
    <w:rsid w:val="003B44AE"/>
    <w:rsid w:val="003B491B"/>
    <w:rsid w:val="003B5728"/>
    <w:rsid w:val="003C57F4"/>
    <w:rsid w:val="003C6170"/>
    <w:rsid w:val="003D341E"/>
    <w:rsid w:val="003D5E10"/>
    <w:rsid w:val="003E144F"/>
    <w:rsid w:val="003E2AAB"/>
    <w:rsid w:val="003E6E65"/>
    <w:rsid w:val="003E6E8D"/>
    <w:rsid w:val="003E7B94"/>
    <w:rsid w:val="003E7F83"/>
    <w:rsid w:val="003F6B07"/>
    <w:rsid w:val="003F6B7C"/>
    <w:rsid w:val="004018E2"/>
    <w:rsid w:val="0040268F"/>
    <w:rsid w:val="00405707"/>
    <w:rsid w:val="00410EB9"/>
    <w:rsid w:val="00427737"/>
    <w:rsid w:val="004301A2"/>
    <w:rsid w:val="00430F70"/>
    <w:rsid w:val="00434C25"/>
    <w:rsid w:val="00436A1F"/>
    <w:rsid w:val="004412A8"/>
    <w:rsid w:val="00442C7C"/>
    <w:rsid w:val="00447730"/>
    <w:rsid w:val="0045181D"/>
    <w:rsid w:val="00454FAA"/>
    <w:rsid w:val="004570FD"/>
    <w:rsid w:val="004612BE"/>
    <w:rsid w:val="0046271E"/>
    <w:rsid w:val="00472328"/>
    <w:rsid w:val="004728A4"/>
    <w:rsid w:val="0047347C"/>
    <w:rsid w:val="00474A0A"/>
    <w:rsid w:val="0047622E"/>
    <w:rsid w:val="004801EB"/>
    <w:rsid w:val="004845A4"/>
    <w:rsid w:val="00490E4E"/>
    <w:rsid w:val="004914C0"/>
    <w:rsid w:val="00491975"/>
    <w:rsid w:val="00493A93"/>
    <w:rsid w:val="00496307"/>
    <w:rsid w:val="00496DD6"/>
    <w:rsid w:val="004A506A"/>
    <w:rsid w:val="004A6968"/>
    <w:rsid w:val="004A738D"/>
    <w:rsid w:val="004B40EC"/>
    <w:rsid w:val="004B5E01"/>
    <w:rsid w:val="004B6907"/>
    <w:rsid w:val="004C1572"/>
    <w:rsid w:val="004D2281"/>
    <w:rsid w:val="004D280C"/>
    <w:rsid w:val="004D3465"/>
    <w:rsid w:val="004D423E"/>
    <w:rsid w:val="004D7BE3"/>
    <w:rsid w:val="004E1127"/>
    <w:rsid w:val="004E7184"/>
    <w:rsid w:val="004F640F"/>
    <w:rsid w:val="004F7696"/>
    <w:rsid w:val="00502032"/>
    <w:rsid w:val="005127C3"/>
    <w:rsid w:val="00515389"/>
    <w:rsid w:val="00517D71"/>
    <w:rsid w:val="00520399"/>
    <w:rsid w:val="00521EBF"/>
    <w:rsid w:val="00523AE0"/>
    <w:rsid w:val="005314F7"/>
    <w:rsid w:val="00536360"/>
    <w:rsid w:val="00553803"/>
    <w:rsid w:val="005545F9"/>
    <w:rsid w:val="0055490A"/>
    <w:rsid w:val="00556482"/>
    <w:rsid w:val="0056214B"/>
    <w:rsid w:val="005642CC"/>
    <w:rsid w:val="00572423"/>
    <w:rsid w:val="00575A5F"/>
    <w:rsid w:val="0058055F"/>
    <w:rsid w:val="00586968"/>
    <w:rsid w:val="00586E3E"/>
    <w:rsid w:val="005906A1"/>
    <w:rsid w:val="005A09BE"/>
    <w:rsid w:val="005C0C10"/>
    <w:rsid w:val="005C29D7"/>
    <w:rsid w:val="005D3078"/>
    <w:rsid w:val="005E0A33"/>
    <w:rsid w:val="005E749A"/>
    <w:rsid w:val="005E7EA8"/>
    <w:rsid w:val="005F1C9D"/>
    <w:rsid w:val="005F3A40"/>
    <w:rsid w:val="005F50B6"/>
    <w:rsid w:val="005F52AB"/>
    <w:rsid w:val="00601B0E"/>
    <w:rsid w:val="006030DA"/>
    <w:rsid w:val="00605A98"/>
    <w:rsid w:val="00610544"/>
    <w:rsid w:val="00615B31"/>
    <w:rsid w:val="00623C02"/>
    <w:rsid w:val="00623E7B"/>
    <w:rsid w:val="006334DF"/>
    <w:rsid w:val="00634175"/>
    <w:rsid w:val="00634FA9"/>
    <w:rsid w:val="006350A8"/>
    <w:rsid w:val="00635E9E"/>
    <w:rsid w:val="00650348"/>
    <w:rsid w:val="00651687"/>
    <w:rsid w:val="00651CBA"/>
    <w:rsid w:val="00656F98"/>
    <w:rsid w:val="00657C08"/>
    <w:rsid w:val="00660C7E"/>
    <w:rsid w:val="00662034"/>
    <w:rsid w:val="0066451F"/>
    <w:rsid w:val="00665379"/>
    <w:rsid w:val="00665B10"/>
    <w:rsid w:val="00670618"/>
    <w:rsid w:val="0067448F"/>
    <w:rsid w:val="0067523E"/>
    <w:rsid w:val="006866EB"/>
    <w:rsid w:val="00692339"/>
    <w:rsid w:val="006940DF"/>
    <w:rsid w:val="006A0432"/>
    <w:rsid w:val="006A095C"/>
    <w:rsid w:val="006A2669"/>
    <w:rsid w:val="006A4DD4"/>
    <w:rsid w:val="006A7A89"/>
    <w:rsid w:val="006A7FD3"/>
    <w:rsid w:val="006B49E6"/>
    <w:rsid w:val="006B5A4A"/>
    <w:rsid w:val="006B6914"/>
    <w:rsid w:val="006B70B3"/>
    <w:rsid w:val="006C3A77"/>
    <w:rsid w:val="006C5348"/>
    <w:rsid w:val="006D04BE"/>
    <w:rsid w:val="006D369D"/>
    <w:rsid w:val="006D3D7C"/>
    <w:rsid w:val="006D5C92"/>
    <w:rsid w:val="006E26D5"/>
    <w:rsid w:val="006F12AF"/>
    <w:rsid w:val="006F1565"/>
    <w:rsid w:val="006F6C4B"/>
    <w:rsid w:val="006F6F66"/>
    <w:rsid w:val="00701633"/>
    <w:rsid w:val="007023AA"/>
    <w:rsid w:val="00704017"/>
    <w:rsid w:val="007066FA"/>
    <w:rsid w:val="00707D60"/>
    <w:rsid w:val="00716879"/>
    <w:rsid w:val="00716951"/>
    <w:rsid w:val="007254F0"/>
    <w:rsid w:val="00727B3F"/>
    <w:rsid w:val="00734757"/>
    <w:rsid w:val="00735310"/>
    <w:rsid w:val="00735479"/>
    <w:rsid w:val="007418AC"/>
    <w:rsid w:val="0074542E"/>
    <w:rsid w:val="00746847"/>
    <w:rsid w:val="00747F2A"/>
    <w:rsid w:val="007561C5"/>
    <w:rsid w:val="00761E9E"/>
    <w:rsid w:val="00765118"/>
    <w:rsid w:val="007662EA"/>
    <w:rsid w:val="00774169"/>
    <w:rsid w:val="00775207"/>
    <w:rsid w:val="007802B0"/>
    <w:rsid w:val="00780518"/>
    <w:rsid w:val="00782B73"/>
    <w:rsid w:val="00796276"/>
    <w:rsid w:val="00796E50"/>
    <w:rsid w:val="007A05EB"/>
    <w:rsid w:val="007A2154"/>
    <w:rsid w:val="007A22C3"/>
    <w:rsid w:val="007A5DB0"/>
    <w:rsid w:val="007A6916"/>
    <w:rsid w:val="007A6E6A"/>
    <w:rsid w:val="007B020E"/>
    <w:rsid w:val="007B119A"/>
    <w:rsid w:val="007B2E76"/>
    <w:rsid w:val="007C366A"/>
    <w:rsid w:val="007C7686"/>
    <w:rsid w:val="007D2C3E"/>
    <w:rsid w:val="007D6C7B"/>
    <w:rsid w:val="007E00A9"/>
    <w:rsid w:val="007E0EF5"/>
    <w:rsid w:val="007E5672"/>
    <w:rsid w:val="007E7518"/>
    <w:rsid w:val="007F0B57"/>
    <w:rsid w:val="007F4767"/>
    <w:rsid w:val="007F52EE"/>
    <w:rsid w:val="00803A30"/>
    <w:rsid w:val="00810454"/>
    <w:rsid w:val="00811067"/>
    <w:rsid w:val="00812B8D"/>
    <w:rsid w:val="00814319"/>
    <w:rsid w:val="00815177"/>
    <w:rsid w:val="008176B1"/>
    <w:rsid w:val="00821108"/>
    <w:rsid w:val="00824C34"/>
    <w:rsid w:val="008305AB"/>
    <w:rsid w:val="0083367B"/>
    <w:rsid w:val="00833B19"/>
    <w:rsid w:val="008449A5"/>
    <w:rsid w:val="00847DD1"/>
    <w:rsid w:val="008625FF"/>
    <w:rsid w:val="00862EFB"/>
    <w:rsid w:val="00863F95"/>
    <w:rsid w:val="00865123"/>
    <w:rsid w:val="0087003A"/>
    <w:rsid w:val="008709F3"/>
    <w:rsid w:val="00877E3A"/>
    <w:rsid w:val="0088125E"/>
    <w:rsid w:val="00892043"/>
    <w:rsid w:val="0089738A"/>
    <w:rsid w:val="008A5D78"/>
    <w:rsid w:val="008A5E83"/>
    <w:rsid w:val="008B0F56"/>
    <w:rsid w:val="008B1CE2"/>
    <w:rsid w:val="008B3FE7"/>
    <w:rsid w:val="008C07F8"/>
    <w:rsid w:val="008C16BE"/>
    <w:rsid w:val="008C3A7C"/>
    <w:rsid w:val="008C3B55"/>
    <w:rsid w:val="008D72E5"/>
    <w:rsid w:val="008D75F6"/>
    <w:rsid w:val="008D7761"/>
    <w:rsid w:val="008E3166"/>
    <w:rsid w:val="008E3F42"/>
    <w:rsid w:val="008E5C17"/>
    <w:rsid w:val="008F0A77"/>
    <w:rsid w:val="008F1353"/>
    <w:rsid w:val="008F18C4"/>
    <w:rsid w:val="008F23E9"/>
    <w:rsid w:val="008F4D8C"/>
    <w:rsid w:val="008F5888"/>
    <w:rsid w:val="008F6661"/>
    <w:rsid w:val="008F6ABC"/>
    <w:rsid w:val="00900408"/>
    <w:rsid w:val="0090083D"/>
    <w:rsid w:val="00900BCE"/>
    <w:rsid w:val="00906D72"/>
    <w:rsid w:val="00923F6F"/>
    <w:rsid w:val="00924B15"/>
    <w:rsid w:val="00932625"/>
    <w:rsid w:val="00932FEB"/>
    <w:rsid w:val="00934041"/>
    <w:rsid w:val="00944BAA"/>
    <w:rsid w:val="0095413D"/>
    <w:rsid w:val="0095449D"/>
    <w:rsid w:val="00956B7F"/>
    <w:rsid w:val="00965030"/>
    <w:rsid w:val="00966801"/>
    <w:rsid w:val="0097545F"/>
    <w:rsid w:val="00977018"/>
    <w:rsid w:val="0098415F"/>
    <w:rsid w:val="00996585"/>
    <w:rsid w:val="00996C61"/>
    <w:rsid w:val="009970DC"/>
    <w:rsid w:val="009977B8"/>
    <w:rsid w:val="009A2549"/>
    <w:rsid w:val="009A3DBE"/>
    <w:rsid w:val="009A75EE"/>
    <w:rsid w:val="009B12C6"/>
    <w:rsid w:val="009B4175"/>
    <w:rsid w:val="009B6A12"/>
    <w:rsid w:val="009C075F"/>
    <w:rsid w:val="009C155E"/>
    <w:rsid w:val="009C2026"/>
    <w:rsid w:val="009C35C5"/>
    <w:rsid w:val="009C7203"/>
    <w:rsid w:val="009C7640"/>
    <w:rsid w:val="009D249A"/>
    <w:rsid w:val="009D309A"/>
    <w:rsid w:val="009D51F5"/>
    <w:rsid w:val="009E35B9"/>
    <w:rsid w:val="009E708F"/>
    <w:rsid w:val="009E732E"/>
    <w:rsid w:val="009F0A48"/>
    <w:rsid w:val="009F19B1"/>
    <w:rsid w:val="009F4545"/>
    <w:rsid w:val="009F4AB1"/>
    <w:rsid w:val="009F76C5"/>
    <w:rsid w:val="00A02B8B"/>
    <w:rsid w:val="00A03618"/>
    <w:rsid w:val="00A040FF"/>
    <w:rsid w:val="00A04475"/>
    <w:rsid w:val="00A060A0"/>
    <w:rsid w:val="00A06713"/>
    <w:rsid w:val="00A14A9F"/>
    <w:rsid w:val="00A1612E"/>
    <w:rsid w:val="00A26145"/>
    <w:rsid w:val="00A35DF9"/>
    <w:rsid w:val="00A406F4"/>
    <w:rsid w:val="00A40FA4"/>
    <w:rsid w:val="00A448C1"/>
    <w:rsid w:val="00A50F33"/>
    <w:rsid w:val="00A52E71"/>
    <w:rsid w:val="00A56E08"/>
    <w:rsid w:val="00A63BB4"/>
    <w:rsid w:val="00A70F24"/>
    <w:rsid w:val="00A71CFD"/>
    <w:rsid w:val="00A74859"/>
    <w:rsid w:val="00A77278"/>
    <w:rsid w:val="00A81030"/>
    <w:rsid w:val="00A825CD"/>
    <w:rsid w:val="00A833EB"/>
    <w:rsid w:val="00A90301"/>
    <w:rsid w:val="00A93BC5"/>
    <w:rsid w:val="00A93FE2"/>
    <w:rsid w:val="00AA0C2D"/>
    <w:rsid w:val="00AA2DA9"/>
    <w:rsid w:val="00AA3DDE"/>
    <w:rsid w:val="00AA3FDC"/>
    <w:rsid w:val="00AA4114"/>
    <w:rsid w:val="00AA5C5F"/>
    <w:rsid w:val="00AA634A"/>
    <w:rsid w:val="00AB4C87"/>
    <w:rsid w:val="00AC7B80"/>
    <w:rsid w:val="00AD2F99"/>
    <w:rsid w:val="00AD36CC"/>
    <w:rsid w:val="00AD6643"/>
    <w:rsid w:val="00AD7CFA"/>
    <w:rsid w:val="00AE2483"/>
    <w:rsid w:val="00AE507C"/>
    <w:rsid w:val="00AE7E0C"/>
    <w:rsid w:val="00AF05BF"/>
    <w:rsid w:val="00AF24B2"/>
    <w:rsid w:val="00AF284A"/>
    <w:rsid w:val="00B01292"/>
    <w:rsid w:val="00B0535A"/>
    <w:rsid w:val="00B06559"/>
    <w:rsid w:val="00B102DD"/>
    <w:rsid w:val="00B16776"/>
    <w:rsid w:val="00B17836"/>
    <w:rsid w:val="00B20FBF"/>
    <w:rsid w:val="00B213EF"/>
    <w:rsid w:val="00B24B1C"/>
    <w:rsid w:val="00B25628"/>
    <w:rsid w:val="00B2569E"/>
    <w:rsid w:val="00B26F61"/>
    <w:rsid w:val="00B311DD"/>
    <w:rsid w:val="00B31819"/>
    <w:rsid w:val="00B356A3"/>
    <w:rsid w:val="00B36D33"/>
    <w:rsid w:val="00B370FE"/>
    <w:rsid w:val="00B37FA9"/>
    <w:rsid w:val="00B43E0B"/>
    <w:rsid w:val="00B5055F"/>
    <w:rsid w:val="00B50865"/>
    <w:rsid w:val="00B52434"/>
    <w:rsid w:val="00B53447"/>
    <w:rsid w:val="00B54337"/>
    <w:rsid w:val="00B61CC3"/>
    <w:rsid w:val="00B63D63"/>
    <w:rsid w:val="00B64233"/>
    <w:rsid w:val="00B657C1"/>
    <w:rsid w:val="00B715BE"/>
    <w:rsid w:val="00B72F8C"/>
    <w:rsid w:val="00B75F3A"/>
    <w:rsid w:val="00B821E3"/>
    <w:rsid w:val="00B82FC0"/>
    <w:rsid w:val="00B93734"/>
    <w:rsid w:val="00B976ED"/>
    <w:rsid w:val="00BA538B"/>
    <w:rsid w:val="00BA7664"/>
    <w:rsid w:val="00BB7753"/>
    <w:rsid w:val="00BC0876"/>
    <w:rsid w:val="00BD57E4"/>
    <w:rsid w:val="00BE11CD"/>
    <w:rsid w:val="00BF077E"/>
    <w:rsid w:val="00BF0796"/>
    <w:rsid w:val="00BF3232"/>
    <w:rsid w:val="00BF43E9"/>
    <w:rsid w:val="00BF61F4"/>
    <w:rsid w:val="00C01BBA"/>
    <w:rsid w:val="00C0375E"/>
    <w:rsid w:val="00C03AD7"/>
    <w:rsid w:val="00C10F53"/>
    <w:rsid w:val="00C17A4B"/>
    <w:rsid w:val="00C231A9"/>
    <w:rsid w:val="00C23B66"/>
    <w:rsid w:val="00C323B2"/>
    <w:rsid w:val="00C42043"/>
    <w:rsid w:val="00C42655"/>
    <w:rsid w:val="00C42AFD"/>
    <w:rsid w:val="00C42E8E"/>
    <w:rsid w:val="00C43775"/>
    <w:rsid w:val="00C44968"/>
    <w:rsid w:val="00C44E77"/>
    <w:rsid w:val="00C44FA2"/>
    <w:rsid w:val="00C63361"/>
    <w:rsid w:val="00C70907"/>
    <w:rsid w:val="00C72AC5"/>
    <w:rsid w:val="00C75484"/>
    <w:rsid w:val="00C77C59"/>
    <w:rsid w:val="00C905A2"/>
    <w:rsid w:val="00C9510A"/>
    <w:rsid w:val="00C972C4"/>
    <w:rsid w:val="00CA376C"/>
    <w:rsid w:val="00CB118C"/>
    <w:rsid w:val="00CB2B64"/>
    <w:rsid w:val="00CB2DE4"/>
    <w:rsid w:val="00CB3528"/>
    <w:rsid w:val="00CC35C4"/>
    <w:rsid w:val="00CD3168"/>
    <w:rsid w:val="00CD5185"/>
    <w:rsid w:val="00CD5428"/>
    <w:rsid w:val="00CE0AE4"/>
    <w:rsid w:val="00CE404D"/>
    <w:rsid w:val="00CF631B"/>
    <w:rsid w:val="00CF7CC9"/>
    <w:rsid w:val="00D00700"/>
    <w:rsid w:val="00D0420A"/>
    <w:rsid w:val="00D11CCD"/>
    <w:rsid w:val="00D241BD"/>
    <w:rsid w:val="00D25B12"/>
    <w:rsid w:val="00D25C05"/>
    <w:rsid w:val="00D31159"/>
    <w:rsid w:val="00D34A4A"/>
    <w:rsid w:val="00D35EAE"/>
    <w:rsid w:val="00D3610F"/>
    <w:rsid w:val="00D3630D"/>
    <w:rsid w:val="00D36C3B"/>
    <w:rsid w:val="00D414E5"/>
    <w:rsid w:val="00D418CC"/>
    <w:rsid w:val="00D44FFF"/>
    <w:rsid w:val="00D518C0"/>
    <w:rsid w:val="00D53326"/>
    <w:rsid w:val="00D536BB"/>
    <w:rsid w:val="00D54E11"/>
    <w:rsid w:val="00D54E9D"/>
    <w:rsid w:val="00D57D4C"/>
    <w:rsid w:val="00D649B9"/>
    <w:rsid w:val="00D66BC3"/>
    <w:rsid w:val="00D707FF"/>
    <w:rsid w:val="00D72939"/>
    <w:rsid w:val="00D73989"/>
    <w:rsid w:val="00D73DCC"/>
    <w:rsid w:val="00D74574"/>
    <w:rsid w:val="00D74CF1"/>
    <w:rsid w:val="00D75109"/>
    <w:rsid w:val="00D80439"/>
    <w:rsid w:val="00D844B8"/>
    <w:rsid w:val="00D85307"/>
    <w:rsid w:val="00D86AD1"/>
    <w:rsid w:val="00D87572"/>
    <w:rsid w:val="00D90515"/>
    <w:rsid w:val="00DA12AE"/>
    <w:rsid w:val="00DA592D"/>
    <w:rsid w:val="00DA789E"/>
    <w:rsid w:val="00DB03E0"/>
    <w:rsid w:val="00DB2581"/>
    <w:rsid w:val="00DB2833"/>
    <w:rsid w:val="00DB2D8D"/>
    <w:rsid w:val="00DB5D77"/>
    <w:rsid w:val="00DC1C3B"/>
    <w:rsid w:val="00DC3184"/>
    <w:rsid w:val="00DC423B"/>
    <w:rsid w:val="00DD7273"/>
    <w:rsid w:val="00DE7CF0"/>
    <w:rsid w:val="00E11F37"/>
    <w:rsid w:val="00E12DF7"/>
    <w:rsid w:val="00E172AC"/>
    <w:rsid w:val="00E21875"/>
    <w:rsid w:val="00E2260C"/>
    <w:rsid w:val="00E27CAF"/>
    <w:rsid w:val="00E325C8"/>
    <w:rsid w:val="00E365E6"/>
    <w:rsid w:val="00E40656"/>
    <w:rsid w:val="00E5696C"/>
    <w:rsid w:val="00E57B42"/>
    <w:rsid w:val="00E60F6D"/>
    <w:rsid w:val="00E63CA7"/>
    <w:rsid w:val="00E649E4"/>
    <w:rsid w:val="00E66842"/>
    <w:rsid w:val="00E70E11"/>
    <w:rsid w:val="00E71833"/>
    <w:rsid w:val="00E72FAB"/>
    <w:rsid w:val="00E757AD"/>
    <w:rsid w:val="00E85328"/>
    <w:rsid w:val="00E85502"/>
    <w:rsid w:val="00E9148A"/>
    <w:rsid w:val="00E93270"/>
    <w:rsid w:val="00E97A47"/>
    <w:rsid w:val="00EA1522"/>
    <w:rsid w:val="00EA3349"/>
    <w:rsid w:val="00EA5EB5"/>
    <w:rsid w:val="00EB17CD"/>
    <w:rsid w:val="00EB2C05"/>
    <w:rsid w:val="00EB54BC"/>
    <w:rsid w:val="00EB5DE1"/>
    <w:rsid w:val="00EB6CD6"/>
    <w:rsid w:val="00EB6EC3"/>
    <w:rsid w:val="00EC1919"/>
    <w:rsid w:val="00EC4F0C"/>
    <w:rsid w:val="00EC5946"/>
    <w:rsid w:val="00ED044F"/>
    <w:rsid w:val="00ED3F97"/>
    <w:rsid w:val="00ED46DD"/>
    <w:rsid w:val="00ED75AD"/>
    <w:rsid w:val="00EE3B98"/>
    <w:rsid w:val="00EE7538"/>
    <w:rsid w:val="00EF3663"/>
    <w:rsid w:val="00EF3F61"/>
    <w:rsid w:val="00EF4C3B"/>
    <w:rsid w:val="00F07A57"/>
    <w:rsid w:val="00F133BD"/>
    <w:rsid w:val="00F2162E"/>
    <w:rsid w:val="00F21A2C"/>
    <w:rsid w:val="00F25ADA"/>
    <w:rsid w:val="00F26529"/>
    <w:rsid w:val="00F3601F"/>
    <w:rsid w:val="00F362F5"/>
    <w:rsid w:val="00F42B2C"/>
    <w:rsid w:val="00F4334C"/>
    <w:rsid w:val="00F438AA"/>
    <w:rsid w:val="00F43AE8"/>
    <w:rsid w:val="00F46349"/>
    <w:rsid w:val="00F5209D"/>
    <w:rsid w:val="00F54CBF"/>
    <w:rsid w:val="00F668F4"/>
    <w:rsid w:val="00F67376"/>
    <w:rsid w:val="00F70A7E"/>
    <w:rsid w:val="00F70D16"/>
    <w:rsid w:val="00F7298F"/>
    <w:rsid w:val="00F827B1"/>
    <w:rsid w:val="00F85850"/>
    <w:rsid w:val="00F90708"/>
    <w:rsid w:val="00F90860"/>
    <w:rsid w:val="00FA2EA0"/>
    <w:rsid w:val="00FA3DE9"/>
    <w:rsid w:val="00FA6F85"/>
    <w:rsid w:val="00FB2DF9"/>
    <w:rsid w:val="00FB6127"/>
    <w:rsid w:val="00FB6323"/>
    <w:rsid w:val="00FB638E"/>
    <w:rsid w:val="00FC1A2A"/>
    <w:rsid w:val="00FC2A7A"/>
    <w:rsid w:val="00FC51F2"/>
    <w:rsid w:val="00FC79AC"/>
    <w:rsid w:val="00FD0CC0"/>
    <w:rsid w:val="00FD398D"/>
    <w:rsid w:val="00FD657C"/>
    <w:rsid w:val="00FD77DB"/>
    <w:rsid w:val="00FE171D"/>
    <w:rsid w:val="00FE367A"/>
    <w:rsid w:val="00FE4223"/>
    <w:rsid w:val="00FE45EE"/>
    <w:rsid w:val="00FF1CFB"/>
    <w:rsid w:val="00FF2019"/>
    <w:rsid w:val="00FF2CBB"/>
    <w:rsid w:val="00FF6FF7"/>
    <w:rsid w:val="427E52EE"/>
    <w:rsid w:val="6FC13A46"/>
    <w:rsid w:val="7F27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14:ligatures w14:val="standardContextual"/>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6"/>
    <w:unhideWhenUsed/>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7">
    <w:name w:val="toc 2"/>
    <w:basedOn w:val="1"/>
    <w:next w:val="1"/>
    <w:semiHidden/>
    <w:unhideWhenUsed/>
    <w:qFormat/>
    <w:uiPriority w:val="39"/>
    <w:pPr>
      <w:ind w:left="420" w:leftChars="200"/>
    </w:pPr>
  </w:style>
  <w:style w:type="character" w:styleId="10">
    <w:name w:val="Strong"/>
    <w:basedOn w:val="9"/>
    <w:qFormat/>
    <w:uiPriority w:val="22"/>
    <w:rPr>
      <w:b/>
    </w:rPr>
  </w:style>
  <w:style w:type="character" w:styleId="11">
    <w:name w:val="Hyperlink"/>
    <w:unhideWhenUsed/>
    <w:qFormat/>
    <w:uiPriority w:val="99"/>
    <w:rPr>
      <w:color w:val="0000FF"/>
      <w:u w:val="single"/>
    </w:rPr>
  </w:style>
  <w:style w:type="character" w:customStyle="1" w:styleId="12">
    <w:name w:val="页眉 字符"/>
    <w:basedOn w:val="9"/>
    <w:link w:val="5"/>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标题 1 字符"/>
    <w:basedOn w:val="9"/>
    <w:link w:val="2"/>
    <w:qFormat/>
    <w:uiPriority w:val="0"/>
    <w:rPr>
      <w:rFonts w:ascii="Times New Roman" w:hAnsi="Times New Roman" w:eastAsia="宋体" w:cs="Times New Roman"/>
      <w:b/>
      <w:bCs/>
      <w:kern w:val="44"/>
      <w:sz w:val="44"/>
      <w:szCs w:val="44"/>
    </w:rPr>
  </w:style>
  <w:style w:type="paragraph" w:styleId="15">
    <w:name w:val="List Paragraph"/>
    <w:basedOn w:val="1"/>
    <w:qFormat/>
    <w:uiPriority w:val="99"/>
    <w:pPr>
      <w:ind w:firstLine="420" w:firstLineChars="200"/>
    </w:pPr>
  </w:style>
  <w:style w:type="character" w:customStyle="1" w:styleId="16">
    <w:name w:val="日期 字符"/>
    <w:basedOn w:val="9"/>
    <w:link w:val="3"/>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3758</Words>
  <Characters>4230</Characters>
  <Lines>29</Lines>
  <Paragraphs>8</Paragraphs>
  <TotalTime>17</TotalTime>
  <ScaleCrop>false</ScaleCrop>
  <LinksUpToDate>false</LinksUpToDate>
  <CharactersWithSpaces>4350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2024-07-23T09:22:00Z</dcterms:created>
  <dc:creator>姿 wang</dc:creator>
  <cp:lastModifiedBy>COMIN</cp:lastModifiedBy>
  <dcterms:modified xsi:type="dcterms:W3CDTF">2025-07-01T10:35:48Z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eyJoZGlkIjoiMzEwNTM5NzYwMDRjMzkwZTVkZjY2ODkwMGIxNGU0OTUiLCJ1c2VySWQiOiIzNzYzODY0MzYifQ==</vt:lpwstr>
  </property>
  <property fmtid="{D5CDD505-2E9C-101B-9397-08002B2CF9AE}" pid="3" name="KSOProductBuildVer">
    <vt:lpwstr>2052-12.1.0.21541</vt:lpwstr>
  </property>
  <property fmtid="{D5CDD505-2E9C-101B-9397-08002B2CF9AE}" pid="4" name="ICV">
    <vt:lpwstr>3F765F7D9C59451AB65010172948A558_13</vt:lpwstr>
  </property>
</Properties>
</file>